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6B46B" w14:textId="0C718467" w:rsidR="00EE7DE9" w:rsidRPr="0052514D" w:rsidRDefault="00EE7DE9" w:rsidP="00EE7DE9">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sidR="00FB4882">
        <w:rPr>
          <w:rFonts w:eastAsia="SimSun" w:cs="Arial"/>
          <w:sz w:val="24"/>
          <w:szCs w:val="24"/>
        </w:rPr>
        <w:t>2</w:t>
      </w:r>
      <w:r w:rsidRPr="0052514D">
        <w:rPr>
          <w:rFonts w:eastAsia="SimSun" w:cs="Arial"/>
          <w:sz w:val="24"/>
          <w:szCs w:val="24"/>
        </w:rPr>
        <w:tab/>
      </w:r>
      <w:r w:rsidR="00AC4C23" w:rsidRPr="00AC4C23">
        <w:rPr>
          <w:rFonts w:eastAsia="SimSun" w:cs="Arial"/>
          <w:sz w:val="24"/>
          <w:szCs w:val="24"/>
        </w:rPr>
        <w:t>R4-2411452</w:t>
      </w:r>
    </w:p>
    <w:p w14:paraId="2F98162D" w14:textId="77777777" w:rsidR="00FB4882" w:rsidRPr="0052514D" w:rsidRDefault="00FB4882" w:rsidP="00FB4882">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38B464B6"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3B6A8A">
        <w:rPr>
          <w:rFonts w:ascii="Arial" w:hAnsi="Arial" w:cs="Arial"/>
          <w:b/>
          <w:sz w:val="22"/>
          <w:szCs w:val="22"/>
        </w:rPr>
        <w:t>8.</w:t>
      </w:r>
      <w:r w:rsidR="00E01145">
        <w:rPr>
          <w:rFonts w:ascii="Arial" w:hAnsi="Arial" w:cs="Arial"/>
          <w:b/>
          <w:sz w:val="22"/>
          <w:szCs w:val="22"/>
        </w:rPr>
        <w:t>25</w:t>
      </w:r>
      <w:r w:rsidR="003B6A8A">
        <w:rPr>
          <w:rFonts w:ascii="Arial" w:hAnsi="Arial" w:cs="Arial"/>
          <w:b/>
          <w:sz w:val="22"/>
          <w:szCs w:val="22"/>
        </w:rPr>
        <w:t>.</w:t>
      </w:r>
      <w:r w:rsidR="00E01145">
        <w:rPr>
          <w:rFonts w:ascii="Arial" w:hAnsi="Arial" w:cs="Arial"/>
          <w:b/>
          <w:sz w:val="22"/>
          <w:szCs w:val="22"/>
        </w:rPr>
        <w:t>4</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3FDED838"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01145" w:rsidRPr="00E01145">
        <w:rPr>
          <w:rFonts w:ascii="Arial" w:hAnsi="Arial" w:cs="Arial"/>
          <w:b/>
          <w:sz w:val="22"/>
          <w:szCs w:val="22"/>
        </w:rPr>
        <w:t>On RRM core for R19 NTN Phase 3</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2E5B1E9" w14:textId="60F69097" w:rsidR="00B00E46" w:rsidRDefault="00FB4882" w:rsidP="00B06DCC">
      <w:pPr>
        <w:spacing w:after="120"/>
        <w:jc w:val="both"/>
      </w:pPr>
      <w:r>
        <w:t xml:space="preserve">From this meeting, RAN4 will start the work on R19 WI of </w:t>
      </w:r>
      <w:r w:rsidR="00E01145">
        <w:t>NTN enhancement</w:t>
      </w:r>
      <w:r w:rsidR="003B6A8A" w:rsidRPr="003B6A8A">
        <w:t xml:space="preserve"> Phase </w:t>
      </w:r>
      <w:r w:rsidR="00E01145">
        <w:t>3</w:t>
      </w:r>
      <w:r>
        <w:t xml:space="preserve">, and the latest </w:t>
      </w:r>
      <w:proofErr w:type="gramStart"/>
      <w:r>
        <w:t>WID[</w:t>
      </w:r>
      <w:proofErr w:type="gramEnd"/>
      <w:r>
        <w:t xml:space="preserve">1] approved in last RANP#104 meeting includes </w:t>
      </w:r>
      <w:r w:rsidR="003B6A8A">
        <w:t xml:space="preserve">following </w:t>
      </w:r>
      <w:r>
        <w:t>topics:</w:t>
      </w:r>
    </w:p>
    <w:tbl>
      <w:tblPr>
        <w:tblStyle w:val="TableGrid"/>
        <w:tblW w:w="0" w:type="auto"/>
        <w:tblLook w:val="04A0" w:firstRow="1" w:lastRow="0" w:firstColumn="1" w:lastColumn="0" w:noHBand="0" w:noVBand="1"/>
      </w:tblPr>
      <w:tblGrid>
        <w:gridCol w:w="9962"/>
      </w:tblGrid>
      <w:tr w:rsidR="00FB4882" w14:paraId="280F6553" w14:textId="77777777" w:rsidTr="00FB4882">
        <w:tc>
          <w:tcPr>
            <w:tcW w:w="9962" w:type="dxa"/>
          </w:tcPr>
          <w:p w14:paraId="3FAE69A7" w14:textId="77777777" w:rsidR="00E01145" w:rsidRPr="009431DD" w:rsidRDefault="00E01145" w:rsidP="00E01145">
            <w:pPr>
              <w:numPr>
                <w:ilvl w:val="0"/>
                <w:numId w:val="67"/>
              </w:numPr>
              <w:spacing w:before="0" w:beforeAutospacing="0" w:after="0" w:line="276" w:lineRule="auto"/>
              <w:rPr>
                <w:rFonts w:eastAsia="Calibri"/>
                <w:lang w:eastAsia="ko-KR"/>
              </w:rPr>
            </w:pPr>
            <w:r w:rsidRPr="009431DD">
              <w:rPr>
                <w:rFonts w:eastAsia="Calibri"/>
                <w:lang w:eastAsia="ko-KR"/>
              </w:rPr>
              <w:t>Study and specify</w:t>
            </w:r>
            <w:bookmarkStart w:id="3" w:name="_Hlk153196886"/>
            <w:r w:rsidRPr="009431DD">
              <w:rPr>
                <w:rFonts w:eastAsia="Calibri"/>
                <w:lang w:eastAsia="ko-KR"/>
              </w:rPr>
              <w:t xml:space="preserve"> if beneficial</w:t>
            </w:r>
            <w:bookmarkEnd w:id="3"/>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14:paraId="73929E6C" w14:textId="77777777" w:rsidR="00E01145" w:rsidRPr="009431DD" w:rsidRDefault="00E01145" w:rsidP="00E01145">
            <w:pPr>
              <w:numPr>
                <w:ilvl w:val="0"/>
                <w:numId w:val="67"/>
              </w:numPr>
              <w:spacing w:before="0" w:beforeAutospacing="0" w:after="0" w:line="276" w:lineRule="auto"/>
              <w:rPr>
                <w:rFonts w:eastAsia="Calibri"/>
                <w:lang w:eastAsia="ko-KR"/>
              </w:rPr>
            </w:pPr>
            <w:r w:rsidRPr="009431DD">
              <w:rPr>
                <w:rFonts w:eastAsia="Calibri"/>
                <w:lang w:eastAsia="ko-KR"/>
              </w:rPr>
              <w:t>Uplink Capacity/</w:t>
            </w:r>
            <w:r>
              <w:rPr>
                <w:rFonts w:eastAsia="Calibri"/>
                <w:lang w:eastAsia="ko-KR"/>
              </w:rPr>
              <w:t xml:space="preserve">Cell </w:t>
            </w:r>
            <w:r w:rsidRPr="009431DD">
              <w:rPr>
                <w:rFonts w:eastAsia="Calibri"/>
                <w:lang w:eastAsia="ko-KR"/>
              </w:rPr>
              <w:t>Throughput Enhancement for FR1-NTN [RAN1, RAN2, RAN4]</w:t>
            </w:r>
          </w:p>
          <w:p w14:paraId="7892ACDF" w14:textId="77777777" w:rsidR="00E01145" w:rsidRPr="009431DD" w:rsidRDefault="00E01145" w:rsidP="00E01145">
            <w:pPr>
              <w:numPr>
                <w:ilvl w:val="0"/>
                <w:numId w:val="67"/>
              </w:numPr>
              <w:spacing w:before="0" w:beforeAutospacing="0" w:after="0" w:line="276" w:lineRule="auto"/>
              <w:rPr>
                <w:rFonts w:eastAsia="Malgun Gothic"/>
                <w:lang w:eastAsia="ko-KR"/>
              </w:rPr>
            </w:pPr>
            <w:r w:rsidRPr="009431DD">
              <w:rPr>
                <w:rFonts w:eastAsia="Malgun Gothic"/>
                <w:lang w:eastAsia="ko-KR"/>
              </w:rPr>
              <w:t>Specify signaling of the intended service area of a broadcast service (e.g. MBS broadcast) via NR NTN [RAN2, RAN3]</w:t>
            </w:r>
          </w:p>
          <w:p w14:paraId="56FC4A17" w14:textId="77777777" w:rsidR="00E01145" w:rsidRPr="009431DD" w:rsidRDefault="00E01145" w:rsidP="00E01145">
            <w:pPr>
              <w:numPr>
                <w:ilvl w:val="0"/>
                <w:numId w:val="67"/>
              </w:numPr>
              <w:spacing w:before="0" w:beforeAutospacing="0" w:after="0" w:line="276" w:lineRule="auto"/>
              <w:rPr>
                <w:rFonts w:eastAsia="Calibri"/>
                <w:lang w:eastAsia="ko-KR"/>
              </w:rPr>
            </w:pPr>
            <w:r w:rsidRPr="009431DD">
              <w:rPr>
                <w:rFonts w:eastAsia="Malgun Gothic"/>
                <w:lang w:eastAsia="ko-KR"/>
              </w:rPr>
              <w:t xml:space="preserve">Support of regenerative payload [RAN3, </w:t>
            </w:r>
            <w:r>
              <w:rPr>
                <w:rFonts w:eastAsia="Malgun Gothic"/>
                <w:lang w:eastAsia="ko-KR"/>
              </w:rPr>
              <w:t>RAN2, RAN4</w:t>
            </w:r>
            <w:r w:rsidRPr="009431DD">
              <w:rPr>
                <w:rFonts w:eastAsia="Malgun Gothic"/>
                <w:lang w:eastAsia="ko-KR"/>
              </w:rPr>
              <w:t>]</w:t>
            </w:r>
          </w:p>
          <w:p w14:paraId="4BF59985" w14:textId="5E0476C9" w:rsidR="00FB4882" w:rsidRPr="00E01145" w:rsidRDefault="00E01145" w:rsidP="00E01145">
            <w:pPr>
              <w:numPr>
                <w:ilvl w:val="0"/>
                <w:numId w:val="67"/>
              </w:numPr>
              <w:spacing w:before="0" w:beforeAutospacing="0" w:after="0" w:line="276" w:lineRule="auto"/>
              <w:rPr>
                <w:rFonts w:eastAsia="Malgun Gothic"/>
                <w:lang w:eastAsia="ko-KR"/>
              </w:rPr>
            </w:pPr>
            <w:r w:rsidRPr="009431DD">
              <w:rPr>
                <w:rFonts w:eastAsia="Malgun Gothic"/>
                <w:lang w:eastAsia="ko-KR"/>
              </w:rPr>
              <w:t xml:space="preserve">Support of Rel-17 RedCap and Rel-18 </w:t>
            </w:r>
            <w:proofErr w:type="spellStart"/>
            <w:r w:rsidRPr="009431DD">
              <w:rPr>
                <w:rFonts w:eastAsia="Malgun Gothic"/>
                <w:lang w:eastAsia="ko-KR"/>
              </w:rPr>
              <w:t>eRedCap</w:t>
            </w:r>
            <w:proofErr w:type="spellEnd"/>
            <w:r w:rsidRPr="009431DD">
              <w:rPr>
                <w:rFonts w:eastAsia="Malgun Gothic"/>
                <w:lang w:eastAsia="ko-KR"/>
              </w:rPr>
              <w:t xml:space="preserve"> UEs with NR NTN operating in FR1-NTN bands [RAN4, RAN1]</w:t>
            </w:r>
          </w:p>
        </w:tc>
      </w:tr>
    </w:tbl>
    <w:p w14:paraId="485E75B3" w14:textId="55965DE5" w:rsidR="00AA51CD" w:rsidRDefault="00AA51CD" w:rsidP="00B06DCC">
      <w:pPr>
        <w:spacing w:after="120"/>
        <w:jc w:val="both"/>
      </w:pPr>
      <w:r>
        <w:t xml:space="preserve">In this contribution, we discuss the RRM requirement scope for </w:t>
      </w:r>
      <w:r w:rsidR="00E01145">
        <w:t xml:space="preserve">WI of </w:t>
      </w:r>
      <w:r w:rsidR="00E01145" w:rsidRPr="00E01145">
        <w:t>Non-Terrestrial Networks (NTN) for NR Phase 3</w:t>
      </w:r>
      <w:r>
        <w:t>.</w:t>
      </w:r>
    </w:p>
    <w:p w14:paraId="51BFD882" w14:textId="702D3605" w:rsidR="00C847A9" w:rsidRDefault="00B802EB" w:rsidP="00C847A9">
      <w:pPr>
        <w:pStyle w:val="Heading1"/>
        <w:numPr>
          <w:ilvl w:val="0"/>
          <w:numId w:val="10"/>
        </w:numPr>
        <w:pBdr>
          <w:top w:val="single" w:sz="12" w:space="2" w:color="auto"/>
        </w:pBdr>
        <w:jc w:val="both"/>
        <w:rPr>
          <w:sz w:val="32"/>
        </w:rPr>
      </w:pPr>
      <w:r>
        <w:rPr>
          <w:sz w:val="32"/>
        </w:rPr>
        <w:t xml:space="preserve">RRM </w:t>
      </w:r>
      <w:r w:rsidR="00CA3D75">
        <w:rPr>
          <w:sz w:val="32"/>
        </w:rPr>
        <w:t xml:space="preserve">for </w:t>
      </w:r>
      <w:r w:rsidR="00E01145" w:rsidRPr="009431DD">
        <w:rPr>
          <w:rFonts w:eastAsia="Calibri"/>
          <w:lang w:val="en-US" w:eastAsia="ko-KR"/>
        </w:rPr>
        <w:t>downlink coverage enhancements</w:t>
      </w:r>
    </w:p>
    <w:p w14:paraId="0836FC21" w14:textId="61FC58F1" w:rsidR="00F95921" w:rsidRDefault="00876B45" w:rsidP="00F95921">
      <w:pPr>
        <w:jc w:val="both"/>
        <w:rPr>
          <w:lang w:val="en-GB"/>
        </w:rPr>
      </w:pPr>
      <w:r>
        <w:rPr>
          <w:lang w:val="en-GB"/>
        </w:rPr>
        <w:t>In last RAN plenary meeting, the scope was revised as following:</w:t>
      </w:r>
    </w:p>
    <w:tbl>
      <w:tblPr>
        <w:tblStyle w:val="TableGrid"/>
        <w:tblW w:w="0" w:type="auto"/>
        <w:tblLook w:val="04A0" w:firstRow="1" w:lastRow="0" w:firstColumn="1" w:lastColumn="0" w:noHBand="0" w:noVBand="1"/>
      </w:tblPr>
      <w:tblGrid>
        <w:gridCol w:w="9962"/>
      </w:tblGrid>
      <w:tr w:rsidR="00CB4CB5" w14:paraId="7E56F0D7" w14:textId="77777777" w:rsidTr="00CB4CB5">
        <w:tc>
          <w:tcPr>
            <w:tcW w:w="9962" w:type="dxa"/>
          </w:tcPr>
          <w:p w14:paraId="60B668A6" w14:textId="77777777" w:rsidR="00CB4CB5" w:rsidRPr="00CB4CB5" w:rsidRDefault="00CB4CB5" w:rsidP="00CB4CB5">
            <w:pPr>
              <w:numPr>
                <w:ilvl w:val="0"/>
                <w:numId w:val="86"/>
              </w:numPr>
              <w:spacing w:before="0" w:beforeAutospacing="0" w:after="0" w:line="276" w:lineRule="auto"/>
              <w:rPr>
                <w:rFonts w:eastAsia="Calibri"/>
                <w:sz w:val="20"/>
                <w:szCs w:val="20"/>
                <w:lang w:eastAsia="ko-KR"/>
              </w:rPr>
            </w:pPr>
            <w:r w:rsidRPr="00CB4CB5">
              <w:rPr>
                <w:rFonts w:eastAsia="Calibri"/>
                <w:sz w:val="20"/>
                <w:szCs w:val="20"/>
                <w:lang w:eastAsia="ko-KR"/>
              </w:rPr>
              <w:t>Study and specify if beneficial downlink coverage enhancements targeting support for additional reference satellite payload parameters covering both GSO and NGSO constellations operating in FR1-NTN or FR2-NTN [RAN1, RAN2, RAN4]</w:t>
            </w:r>
          </w:p>
          <w:p w14:paraId="50D98571" w14:textId="77777777" w:rsidR="00CB4CB5" w:rsidRPr="00CB4CB5" w:rsidRDefault="00CB4CB5" w:rsidP="00CB4CB5">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CB4CB5">
              <w:rPr>
                <w:sz w:val="20"/>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43E1116C" w14:textId="77777777" w:rsidR="00CB4CB5" w:rsidRPr="00CB4CB5" w:rsidRDefault="00CB4CB5" w:rsidP="00CB4CB5">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CB4CB5">
              <w:rPr>
                <w:sz w:val="20"/>
                <w:szCs w:val="20"/>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2C66401E" w14:textId="77777777" w:rsidR="00CB4CB5" w:rsidRPr="00CB4CB5" w:rsidRDefault="00CB4CB5" w:rsidP="00CB4CB5">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 xml:space="preserve">Study and if needed specify solutions, including link level enhancements for FR1-NTN (e.g. for PDCCH, PDSCH) and/or system level enhancements for FR1-NTN and/or FR2-NTN, allowing dynamic and flexible power sharing </w:t>
            </w:r>
            <w:r w:rsidRPr="00CB4CB5">
              <w:rPr>
                <w:sz w:val="20"/>
                <w:szCs w:val="20"/>
                <w:highlight w:val="yellow"/>
              </w:rPr>
              <w:lastRenderedPageBreak/>
              <w:t>between satellite beams or different satellite beam patterns/size (i.e. wide or narrow) across the satellite footprint.</w:t>
            </w:r>
          </w:p>
          <w:p w14:paraId="69B6773E"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RAN1 to report at the latest by RAN#106 with the list of targeted physical channels/signals for link level enhancements (if any), and with the targeted system-level enhancements (if any)</w:t>
            </w:r>
          </w:p>
          <w:p w14:paraId="18097625"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RAN1 should report on impact to backward compatibility, if any, for potential extension of the SSB periodicity at the latest by RAN#106, in conjunction with the targeted system-level enhancements.</w:t>
            </w:r>
          </w:p>
          <w:p w14:paraId="3E061D24" w14:textId="77777777" w:rsidR="00CB4CB5" w:rsidRPr="00CB4CB5" w:rsidRDefault="00CB4CB5" w:rsidP="00CB4CB5">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Notes for this objective:</w:t>
            </w:r>
          </w:p>
          <w:p w14:paraId="0B98D4A9"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SSB channel enhancement other than SSB periodicity extension is not considered</w:t>
            </w:r>
          </w:p>
          <w:p w14:paraId="0122FE10" w14:textId="77777777" w:rsidR="00CB4CB5" w:rsidRPr="00CB4CB5" w:rsidRDefault="00CB4CB5" w:rsidP="00CB4CB5">
            <w:pPr>
              <w:pStyle w:val="ListParagraph"/>
              <w:numPr>
                <w:ilvl w:val="2"/>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RAN1 should consider issues such as UE’s cell search complexity and impact to initial cell selection, latency and success rate, for the above extension</w:t>
            </w:r>
          </w:p>
          <w:p w14:paraId="367954CD"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B4CB5">
              <w:rPr>
                <w:sz w:val="20"/>
                <w:szCs w:val="20"/>
                <w:highlight w:val="yellow"/>
              </w:rPr>
              <w:t>The SSB periodicity enhancements potentially defined in this WID only apply to NTN operation</w:t>
            </w:r>
          </w:p>
          <w:p w14:paraId="67B6FDA9"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B4CB5">
              <w:rPr>
                <w:sz w:val="20"/>
                <w:szCs w:val="20"/>
              </w:rPr>
              <w:t>Antenna gain of UE shall be assumed to be -5.5dBi in case of smartphone in FR1-NTN, the UE is assumed to be a full duplex UE, and at least 2Rx are considered at the UE</w:t>
            </w:r>
          </w:p>
          <w:p w14:paraId="722E22BE" w14:textId="77777777" w:rsidR="00CB4CB5" w:rsidRPr="00CB4CB5" w:rsidRDefault="00CB4CB5" w:rsidP="00CB4CB5">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B4CB5">
              <w:rPr>
                <w:sz w:val="20"/>
                <w:szCs w:val="20"/>
              </w:rPr>
              <w:t>NGSO to be considered in priority: LEO Set-1 @ 600 km</w:t>
            </w:r>
          </w:p>
          <w:p w14:paraId="18E7593B" w14:textId="4D891892" w:rsidR="00CB4CB5" w:rsidRPr="00CB4CB5" w:rsidRDefault="00CB4CB5" w:rsidP="00F95921">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16"/>
                <w:szCs w:val="16"/>
              </w:rPr>
            </w:pPr>
            <w:r w:rsidRPr="00CB4CB5">
              <w:rPr>
                <w:sz w:val="20"/>
                <w:szCs w:val="20"/>
              </w:rPr>
              <w:t>Rel-18 network energy saving techniques should be considered as baseline in the system level study</w:t>
            </w:r>
          </w:p>
        </w:tc>
      </w:tr>
    </w:tbl>
    <w:p w14:paraId="4E3F71A4" w14:textId="77777777" w:rsidR="00CB4CB5" w:rsidRDefault="00CB4CB5" w:rsidP="00F95921">
      <w:pPr>
        <w:jc w:val="both"/>
        <w:rPr>
          <w:lang w:val="en-GB"/>
        </w:rPr>
      </w:pPr>
      <w:r>
        <w:rPr>
          <w:lang w:val="en-GB"/>
        </w:rPr>
        <w:lastRenderedPageBreak/>
        <w:t>The SSB periodicity extension for DL coverage enhancement can probably impact UE initial access procedure compared with the legacy assumption of 20ms. RAN4 may need to double check if any RRM requirement shall be clarified when the SSB periodicity is changed to a one different than 20ms.</w:t>
      </w:r>
    </w:p>
    <w:p w14:paraId="3B904317" w14:textId="1DC8B430" w:rsidR="00CB4CB5" w:rsidRDefault="00CB4CB5" w:rsidP="00F95921">
      <w:pPr>
        <w:jc w:val="both"/>
        <w:rPr>
          <w:lang w:val="en-GB"/>
        </w:rPr>
      </w:pPr>
      <w:r>
        <w:rPr>
          <w:lang w:val="en-GB"/>
        </w:rPr>
        <w:t>In the current initial access assumption for cell selection, it was defined in RAN1 that,</w:t>
      </w:r>
    </w:p>
    <w:p w14:paraId="43AF08AB" w14:textId="2A15881C" w:rsidR="00CB4CB5" w:rsidRDefault="00CB4CB5" w:rsidP="00F95921">
      <w:pPr>
        <w:jc w:val="both"/>
        <w:rPr>
          <w:lang w:val="en-GB"/>
        </w:rPr>
      </w:pPr>
      <w:r w:rsidRPr="00CB4CB5">
        <w:rPr>
          <w:noProof/>
          <w:lang w:val="en-GB"/>
        </w:rPr>
        <w:drawing>
          <wp:inline distT="0" distB="0" distL="0" distR="0" wp14:anchorId="171357EA" wp14:editId="12CE8DDF">
            <wp:extent cx="6332220" cy="1374775"/>
            <wp:effectExtent l="0" t="0" r="5080" b="0"/>
            <wp:docPr id="75540355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03555" name="Picture 1" descr="A close-up of a text&#10;&#10;Description automatically generated"/>
                    <pic:cNvPicPr/>
                  </pic:nvPicPr>
                  <pic:blipFill>
                    <a:blip r:embed="rId8"/>
                    <a:stretch>
                      <a:fillRect/>
                    </a:stretch>
                  </pic:blipFill>
                  <pic:spPr>
                    <a:xfrm>
                      <a:off x="0" y="0"/>
                      <a:ext cx="6332220" cy="1374775"/>
                    </a:xfrm>
                    <a:prstGeom prst="rect">
                      <a:avLst/>
                    </a:prstGeom>
                  </pic:spPr>
                </pic:pic>
              </a:graphicData>
            </a:graphic>
          </wp:inline>
        </w:drawing>
      </w:r>
    </w:p>
    <w:p w14:paraId="5F21BF42" w14:textId="1BBB82F9" w:rsidR="00CB4CB5" w:rsidRDefault="00CB4CB5" w:rsidP="00CB4CB5">
      <w:pPr>
        <w:jc w:val="both"/>
        <w:rPr>
          <w:lang w:val="en-GB"/>
        </w:rPr>
      </w:pPr>
      <w:r w:rsidRPr="00CB4CB5">
        <w:rPr>
          <w:lang w:val="en-GB"/>
        </w:rPr>
        <w:t>In the current NTN network (R17, and R18), by default NTN UE will try the initial access to network assuming SSB periodicity as 20ms,</w:t>
      </w:r>
      <w:r>
        <w:rPr>
          <w:lang w:val="en-GB"/>
        </w:rPr>
        <w:t xml:space="preserve"> h</w:t>
      </w:r>
      <w:r w:rsidRPr="00CB4CB5">
        <w:rPr>
          <w:lang w:val="en-GB"/>
        </w:rPr>
        <w:t>owever, if the R19 NTN network changes the SSB periodicity to be more than 20ms, it will cause the initial access failure for the R17/R18 NTN UEs</w:t>
      </w:r>
      <w:r>
        <w:rPr>
          <w:lang w:val="en-GB"/>
        </w:rPr>
        <w:t xml:space="preserve">. </w:t>
      </w:r>
      <w:r w:rsidRPr="00CB4CB5">
        <w:rPr>
          <w:lang w:val="en-GB"/>
        </w:rPr>
        <w:t>Even for the R19 NTN UE, it has no clea</w:t>
      </w:r>
      <w:r w:rsidR="00AC4C23">
        <w:rPr>
          <w:rFonts w:hint="eastAsia"/>
          <w:lang w:val="en-GB"/>
        </w:rPr>
        <w:t>r</w:t>
      </w:r>
      <w:r w:rsidRPr="00CB4CB5">
        <w:rPr>
          <w:lang w:val="en-GB"/>
        </w:rPr>
        <w:t xml:space="preserve"> idea if the network </w:t>
      </w:r>
      <w:proofErr w:type="spellStart"/>
      <w:r w:rsidRPr="00CB4CB5">
        <w:rPr>
          <w:lang w:val="en-GB"/>
        </w:rPr>
        <w:t>behavior</w:t>
      </w:r>
      <w:proofErr w:type="spellEnd"/>
      <w:r w:rsidRPr="00CB4CB5">
        <w:rPr>
          <w:lang w:val="en-GB"/>
        </w:rPr>
        <w:t xml:space="preserve"> is following R17/R18 or R19, and the UE </w:t>
      </w:r>
      <w:proofErr w:type="spellStart"/>
      <w:r w:rsidRPr="00CB4CB5">
        <w:rPr>
          <w:lang w:val="en-GB"/>
        </w:rPr>
        <w:t>behavior</w:t>
      </w:r>
      <w:proofErr w:type="spellEnd"/>
      <w:r w:rsidRPr="00CB4CB5">
        <w:rPr>
          <w:lang w:val="en-GB"/>
        </w:rPr>
        <w:t xml:space="preserve"> is unclear for implementation during the initial access</w:t>
      </w:r>
      <w:r>
        <w:rPr>
          <w:lang w:val="en-GB"/>
        </w:rPr>
        <w:t xml:space="preserve">. </w:t>
      </w:r>
    </w:p>
    <w:p w14:paraId="4A4CF1BF" w14:textId="21A8ADD6" w:rsidR="00CB4CB5" w:rsidRPr="00CB4CB5" w:rsidRDefault="00CB4CB5" w:rsidP="00CB4CB5">
      <w:pPr>
        <w:jc w:val="both"/>
        <w:rPr>
          <w:lang w:val="en-GB"/>
        </w:rPr>
      </w:pPr>
      <w:r w:rsidRPr="00CB4CB5">
        <w:rPr>
          <w:lang w:val="en-GB"/>
        </w:rPr>
        <w:t xml:space="preserve">Besides the initial access, there are other UE </w:t>
      </w:r>
      <w:proofErr w:type="spellStart"/>
      <w:r w:rsidRPr="00CB4CB5">
        <w:rPr>
          <w:lang w:val="en-GB"/>
        </w:rPr>
        <w:t>behaviors</w:t>
      </w:r>
      <w:proofErr w:type="spellEnd"/>
      <w:r w:rsidRPr="00CB4CB5">
        <w:rPr>
          <w:lang w:val="en-GB"/>
        </w:rPr>
        <w:t xml:space="preserve"> requiring assumption of the by-default SSB periodicity in the previous NTN networks (R17/R18). Some examples as followings:</w:t>
      </w:r>
    </w:p>
    <w:p w14:paraId="04E305C8" w14:textId="2C0F3C1E" w:rsidR="00CB4CB5" w:rsidRPr="00CB4CB5" w:rsidRDefault="00CB4CB5" w:rsidP="00CB4CB5">
      <w:pPr>
        <w:pStyle w:val="ListParagraph"/>
        <w:numPr>
          <w:ilvl w:val="2"/>
          <w:numId w:val="86"/>
        </w:numPr>
        <w:spacing w:line="240" w:lineRule="auto"/>
        <w:ind w:left="450" w:firstLineChars="0"/>
        <w:jc w:val="both"/>
        <w:rPr>
          <w:rFonts w:eastAsia="Times New Roman"/>
          <w:snapToGrid/>
          <w:sz w:val="24"/>
          <w:szCs w:val="24"/>
          <w:lang w:val="en-GB" w:eastAsia="zh-CN"/>
        </w:rPr>
      </w:pPr>
      <w:r w:rsidRPr="00CB4CB5">
        <w:rPr>
          <w:rFonts w:eastAsia="Times New Roman"/>
          <w:snapToGrid/>
          <w:sz w:val="24"/>
          <w:szCs w:val="24"/>
          <w:lang w:val="en-GB" w:eastAsia="zh-CN"/>
        </w:rPr>
        <w:t xml:space="preserve">For handover or CHO (conditional HO), if the UE is not provided SMTC configuration or measurement object on this frequency, the requirement in this clause is applied with </w:t>
      </w:r>
      <w:proofErr w:type="spellStart"/>
      <w:r w:rsidRPr="00CB4CB5">
        <w:rPr>
          <w:rFonts w:eastAsia="Times New Roman"/>
          <w:snapToGrid/>
          <w:sz w:val="24"/>
          <w:szCs w:val="24"/>
          <w:lang w:val="en-GB" w:eastAsia="zh-CN"/>
        </w:rPr>
        <w:t>Trs</w:t>
      </w:r>
      <w:proofErr w:type="spellEnd"/>
      <w:r w:rsidRPr="00CB4CB5">
        <w:rPr>
          <w:rFonts w:eastAsia="Times New Roman"/>
          <w:snapToGrid/>
          <w:sz w:val="24"/>
          <w:szCs w:val="24"/>
          <w:lang w:val="en-GB" w:eastAsia="zh-CN"/>
        </w:rPr>
        <w:t xml:space="preserve">=5ms assuming the SSB transmission periodicity is 5ms. There is no requirement if the SSB transmission periodicity is not 5ms. </w:t>
      </w:r>
    </w:p>
    <w:p w14:paraId="690622EF" w14:textId="1FDFC6F3" w:rsidR="009C523B" w:rsidRDefault="00CB4CB5" w:rsidP="009C523B">
      <w:pPr>
        <w:pStyle w:val="ListParagraph"/>
        <w:numPr>
          <w:ilvl w:val="2"/>
          <w:numId w:val="86"/>
        </w:numPr>
        <w:spacing w:line="240" w:lineRule="auto"/>
        <w:ind w:left="450" w:firstLineChars="0"/>
        <w:jc w:val="both"/>
        <w:rPr>
          <w:rFonts w:eastAsia="Times New Roman"/>
          <w:snapToGrid/>
          <w:sz w:val="24"/>
          <w:szCs w:val="24"/>
          <w:lang w:val="en-GB" w:eastAsia="zh-CN"/>
        </w:rPr>
      </w:pPr>
      <w:r w:rsidRPr="00CB4CB5">
        <w:rPr>
          <w:rFonts w:eastAsia="Times New Roman"/>
          <w:snapToGrid/>
          <w:sz w:val="24"/>
          <w:szCs w:val="24"/>
          <w:lang w:val="en-GB" w:eastAsia="zh-CN"/>
        </w:rPr>
        <w:t>For RRC connection release with redirection to NR, if the UE is not provided with SMTC configuration or measurement object for the frequency which is also configured for the RRC connection release with redirection then:</w:t>
      </w:r>
      <w:r>
        <w:rPr>
          <w:rFonts w:eastAsia="Times New Roman"/>
          <w:snapToGrid/>
          <w:sz w:val="24"/>
          <w:szCs w:val="24"/>
          <w:lang w:val="en-GB" w:eastAsia="zh-CN"/>
        </w:rPr>
        <w:t xml:space="preserve"> </w:t>
      </w:r>
      <w:r w:rsidRPr="00CB4CB5">
        <w:rPr>
          <w:rFonts w:eastAsia="Times New Roman"/>
          <w:snapToGrid/>
          <w:sz w:val="24"/>
          <w:szCs w:val="24"/>
          <w:lang w:val="en-GB" w:eastAsia="zh-CN"/>
        </w:rPr>
        <w:t xml:space="preserve">the requirement in this clause is applied with </w:t>
      </w:r>
      <w:proofErr w:type="spellStart"/>
      <w:r w:rsidRPr="00CB4CB5">
        <w:rPr>
          <w:rFonts w:eastAsia="Times New Roman"/>
          <w:snapToGrid/>
          <w:sz w:val="24"/>
          <w:szCs w:val="24"/>
          <w:lang w:val="en-GB" w:eastAsia="zh-CN"/>
        </w:rPr>
        <w:t>Trs</w:t>
      </w:r>
      <w:proofErr w:type="spellEnd"/>
      <w:r w:rsidRPr="00CB4CB5">
        <w:rPr>
          <w:rFonts w:eastAsia="Times New Roman"/>
          <w:snapToGrid/>
          <w:sz w:val="24"/>
          <w:szCs w:val="24"/>
          <w:lang w:val="en-GB" w:eastAsia="zh-CN"/>
        </w:rPr>
        <w:t xml:space="preserve"> = 20 ms if the SSB transmission periodicity is not larger than 20 ms; otherwise, there is no requirement if the SSB transmission periodicity is larger than 20ms.</w:t>
      </w:r>
    </w:p>
    <w:p w14:paraId="24267FF8" w14:textId="66D7B297" w:rsidR="009C523B" w:rsidRDefault="009C523B" w:rsidP="009C523B">
      <w:pPr>
        <w:ind w:left="30"/>
        <w:jc w:val="both"/>
        <w:rPr>
          <w:lang w:val="en-GB"/>
        </w:rPr>
      </w:pPr>
      <w:r>
        <w:rPr>
          <w:lang w:val="en-GB"/>
        </w:rPr>
        <w:lastRenderedPageBreak/>
        <w:t>With the SSB periodicity change(e.g., change to a SSB periodicity &gt; 20ms), the above corresponding requirement needs to be carefully reviewed if any RAN4 work is needed.</w:t>
      </w:r>
    </w:p>
    <w:p w14:paraId="3876B7B4" w14:textId="77777777" w:rsidR="003113A2" w:rsidRDefault="003113A2" w:rsidP="003113A2">
      <w:pPr>
        <w:ind w:left="30"/>
        <w:jc w:val="both"/>
        <w:rPr>
          <w:b/>
          <w:bCs/>
          <w:i/>
          <w:iCs/>
          <w:lang w:val="en-GB"/>
        </w:rPr>
      </w:pPr>
      <w:r w:rsidRPr="009C523B">
        <w:rPr>
          <w:b/>
          <w:bCs/>
          <w:i/>
          <w:iCs/>
          <w:lang w:val="en-GB"/>
        </w:rPr>
        <w:t xml:space="preserve">Proposal 1: RAN4 to decide if </w:t>
      </w:r>
      <w:r>
        <w:rPr>
          <w:b/>
          <w:bCs/>
          <w:i/>
          <w:iCs/>
          <w:lang w:val="en-GB"/>
        </w:rPr>
        <w:t xml:space="preserve">corresponding </w:t>
      </w:r>
      <w:r w:rsidRPr="009C523B">
        <w:rPr>
          <w:b/>
          <w:bCs/>
          <w:i/>
          <w:iCs/>
          <w:lang w:val="en-GB"/>
        </w:rPr>
        <w:t>RRM requirement</w:t>
      </w:r>
      <w:r>
        <w:rPr>
          <w:b/>
          <w:bCs/>
          <w:i/>
          <w:iCs/>
          <w:lang w:val="en-GB"/>
        </w:rPr>
        <w:t>(s)</w:t>
      </w:r>
      <w:r w:rsidRPr="009C523B">
        <w:rPr>
          <w:b/>
          <w:bCs/>
          <w:i/>
          <w:iCs/>
          <w:lang w:val="en-GB"/>
        </w:rPr>
        <w:t xml:space="preserve"> needs to be updated/clarified after RAN1 has concrete conclusion on the SSB periodicity extension for DL coverage enhancement.</w:t>
      </w:r>
    </w:p>
    <w:p w14:paraId="785F35D6" w14:textId="5155CB86" w:rsidR="009C523B" w:rsidRDefault="009C523B" w:rsidP="009C523B">
      <w:pPr>
        <w:ind w:left="30"/>
        <w:jc w:val="both"/>
      </w:pPr>
      <w:r>
        <w:rPr>
          <w:lang w:val="en-GB"/>
        </w:rPr>
        <w:t xml:space="preserve">In our view, if such SSB periodicity extension is adopted in RAN1, it’s only applied for NTN operation on NTN bands. We think it might be beneficial to have some new assumption at UE to help initial access to R19 NTN, and one possible approach could be to specify </w:t>
      </w:r>
      <w:r w:rsidRPr="009C523B">
        <w:t>band</w:t>
      </w:r>
      <w:r>
        <w:t xml:space="preserve"> or region</w:t>
      </w:r>
      <w:r w:rsidRPr="009C523B">
        <w:t xml:space="preserve"> specific SSB periodicity</w:t>
      </w:r>
      <w:r>
        <w:t xml:space="preserve">. For example, UE will perform initial access by searching the cells with a specific SSB periodicity associated with the specific band. It can be defined in RF that each NTN band is associated with one or more SSB periodicity in RF spec, like the association between band and SCS in existing TS38.101-1/2, e.g., Band X is associated with SSB periodicity M. With this approach, network can follow the RF spec to transmit SSB on each specific band by using the associated periodicity. But details of the solution can be further discussed after RAN1 has more conclusions.  </w:t>
      </w:r>
      <w:r w:rsidRPr="009C523B">
        <w:t xml:space="preserve"> </w:t>
      </w:r>
    </w:p>
    <w:p w14:paraId="61E3E22D" w14:textId="3F1D0A00" w:rsidR="00AB2333" w:rsidRDefault="00AB2333" w:rsidP="009C523B">
      <w:pPr>
        <w:ind w:left="30"/>
        <w:jc w:val="both"/>
      </w:pPr>
      <w:r>
        <w:t>In the note of this SSB periodicity extension, WID has a note that “</w:t>
      </w:r>
      <w:r w:rsidRPr="00AB2333">
        <w:t>Rel-18 network energy saving techniques should be considered as baseline in the system level study</w:t>
      </w:r>
      <w:r>
        <w:t>”. One key technology in Rel-18 NES is the DTX for network energy saving, and RAN4 assumed the SSB and other RS for RRM shall be transmitted even outside DTX active window. However, in R19 NTN enh</w:t>
      </w:r>
      <w:r w:rsidR="00965EA2">
        <w:t>ancement</w:t>
      </w:r>
      <w:r>
        <w:t>, to support DL coverage enhancement (network may sweep Tx beams among different footprints) SSB may not be transmitted within certain footprint outside certain time window, e.g., outside DTX active window. If that’s the assumption of DTX in Rel-19 NTN, we can foresee that it must have RRM requirement impact compared with Rel-18 NES DTX.</w:t>
      </w:r>
      <w:r w:rsidR="00B71FE0">
        <w:t xml:space="preserve"> Since how to apply the DTX/DRX mechanism of NES to Rel-19 NTN is still under discussing in RAN1, RAN4 shall wait more conclusions from RAN1 before starts RRM work.</w:t>
      </w:r>
    </w:p>
    <w:p w14:paraId="4E669DC6" w14:textId="26FD5990" w:rsidR="00B71FE0" w:rsidRPr="003113A2" w:rsidRDefault="003113A2" w:rsidP="009C523B">
      <w:pPr>
        <w:ind w:left="30"/>
        <w:jc w:val="both"/>
        <w:rPr>
          <w:b/>
          <w:bCs/>
          <w:i/>
          <w:iCs/>
          <w:lang w:val="en-GB"/>
        </w:rPr>
      </w:pPr>
      <w:r w:rsidRPr="009C523B">
        <w:rPr>
          <w:b/>
          <w:bCs/>
          <w:i/>
          <w:iCs/>
          <w:lang w:val="en-GB"/>
        </w:rPr>
        <w:t xml:space="preserve">Proposal </w:t>
      </w:r>
      <w:r>
        <w:rPr>
          <w:b/>
          <w:bCs/>
          <w:i/>
          <w:iCs/>
          <w:lang w:val="en-GB"/>
        </w:rPr>
        <w:t>2</w:t>
      </w:r>
      <w:r w:rsidRPr="009C523B">
        <w:rPr>
          <w:b/>
          <w:bCs/>
          <w:i/>
          <w:iCs/>
          <w:lang w:val="en-GB"/>
        </w:rPr>
        <w:t xml:space="preserve">: </w:t>
      </w:r>
      <w:r>
        <w:rPr>
          <w:b/>
          <w:bCs/>
          <w:i/>
          <w:iCs/>
          <w:lang w:val="en-GB"/>
        </w:rPr>
        <w:t>RAN4 to wait more conclusions from RAN1 to decide whether and how NTN RRM can be impacted by DTX/DRX from NES</w:t>
      </w:r>
      <w:r w:rsidRPr="009C523B">
        <w:rPr>
          <w:b/>
          <w:bCs/>
          <w:i/>
          <w:iCs/>
          <w:lang w:val="en-GB"/>
        </w:rPr>
        <w:t>.</w:t>
      </w:r>
    </w:p>
    <w:p w14:paraId="0A6D0816" w14:textId="3CBB3173" w:rsidR="00E01145" w:rsidRDefault="00E01145" w:rsidP="00E01145">
      <w:pPr>
        <w:pStyle w:val="Heading1"/>
        <w:numPr>
          <w:ilvl w:val="0"/>
          <w:numId w:val="10"/>
        </w:numPr>
        <w:pBdr>
          <w:top w:val="single" w:sz="12" w:space="2" w:color="auto"/>
        </w:pBdr>
        <w:jc w:val="both"/>
        <w:rPr>
          <w:rFonts w:eastAsia="Calibri"/>
          <w:lang w:val="en-US" w:eastAsia="ko-KR"/>
        </w:rPr>
      </w:pPr>
      <w:r>
        <w:rPr>
          <w:sz w:val="32"/>
        </w:rPr>
        <w:t xml:space="preserve">RRM for </w:t>
      </w:r>
      <w:r>
        <w:rPr>
          <w:rFonts w:eastAsia="Calibri"/>
          <w:lang w:val="en-US" w:eastAsia="ko-KR"/>
        </w:rPr>
        <w:t>u</w:t>
      </w:r>
      <w:r w:rsidRPr="009431DD">
        <w:rPr>
          <w:rFonts w:eastAsia="Calibri"/>
          <w:lang w:val="en-US" w:eastAsia="ko-KR"/>
        </w:rPr>
        <w:t>plink Capacity/</w:t>
      </w:r>
      <w:r>
        <w:rPr>
          <w:rFonts w:eastAsia="Calibri"/>
          <w:lang w:val="en-US" w:eastAsia="ko-KR"/>
        </w:rPr>
        <w:t xml:space="preserve">Cell </w:t>
      </w:r>
      <w:r w:rsidRPr="009431DD">
        <w:rPr>
          <w:rFonts w:eastAsia="Calibri"/>
          <w:lang w:val="en-US" w:eastAsia="ko-KR"/>
        </w:rPr>
        <w:t>Throughput Enhancement</w:t>
      </w:r>
    </w:p>
    <w:p w14:paraId="5F114527" w14:textId="185AFA09" w:rsidR="00E01145" w:rsidRDefault="009C523B" w:rsidP="00304ADF">
      <w:pPr>
        <w:jc w:val="both"/>
        <w:rPr>
          <w:lang w:eastAsia="ko-KR"/>
        </w:rPr>
      </w:pPr>
      <w:r>
        <w:rPr>
          <w:lang w:eastAsia="ko-KR"/>
        </w:rPr>
        <w:t>For UL capability/cell throughput enhancement, enhancement may only need RF requirement update instead of any RRM part.</w:t>
      </w:r>
      <w:r w:rsidR="00304ADF">
        <w:rPr>
          <w:lang w:eastAsia="ko-KR"/>
        </w:rPr>
        <w:t xml:space="preserve"> Thus. RAN4 doesn’t need to discuss RRM requirement for </w:t>
      </w:r>
      <w:r w:rsidR="00304ADF" w:rsidRPr="00304ADF">
        <w:rPr>
          <w:lang w:eastAsia="ko-KR"/>
        </w:rPr>
        <w:t>uplink Capacity/Cell Throughput Enhancement</w:t>
      </w:r>
      <w:r w:rsidR="00304ADF">
        <w:rPr>
          <w:lang w:eastAsia="ko-KR"/>
        </w:rPr>
        <w:t>.</w:t>
      </w:r>
    </w:p>
    <w:p w14:paraId="195357EA" w14:textId="1D3012E4" w:rsidR="00E01145" w:rsidRDefault="00304ADF" w:rsidP="00E01145">
      <w:pPr>
        <w:rPr>
          <w:lang w:eastAsia="ko-KR"/>
        </w:rPr>
      </w:pPr>
      <w:r w:rsidRPr="009C523B">
        <w:rPr>
          <w:b/>
          <w:bCs/>
          <w:i/>
          <w:iCs/>
          <w:lang w:val="en-GB"/>
        </w:rPr>
        <w:t xml:space="preserve">Proposal </w:t>
      </w:r>
      <w:r w:rsidR="003113A2">
        <w:rPr>
          <w:b/>
          <w:bCs/>
          <w:i/>
          <w:iCs/>
          <w:lang w:val="en-GB"/>
        </w:rPr>
        <w:t>3</w:t>
      </w:r>
      <w:r w:rsidRPr="009C523B">
        <w:rPr>
          <w:b/>
          <w:bCs/>
          <w:i/>
          <w:iCs/>
          <w:lang w:val="en-GB"/>
        </w:rPr>
        <w:t xml:space="preserve">: </w:t>
      </w:r>
      <w:r>
        <w:rPr>
          <w:b/>
          <w:bCs/>
          <w:i/>
          <w:iCs/>
          <w:lang w:val="en-GB"/>
        </w:rPr>
        <w:t xml:space="preserve">No need for RAN4 to discuss </w:t>
      </w:r>
      <w:r w:rsidRPr="00304ADF">
        <w:rPr>
          <w:b/>
          <w:bCs/>
          <w:i/>
          <w:iCs/>
          <w:lang w:val="en-GB"/>
        </w:rPr>
        <w:t>RRM requirement for uplink Capacity/Cell Throughput Enhancement</w:t>
      </w:r>
      <w:r>
        <w:rPr>
          <w:b/>
          <w:bCs/>
          <w:i/>
          <w:iCs/>
          <w:lang w:val="en-GB"/>
        </w:rPr>
        <w:t>.</w:t>
      </w:r>
    </w:p>
    <w:p w14:paraId="681608DE" w14:textId="30581C40" w:rsidR="00E01145" w:rsidRDefault="00E01145" w:rsidP="00891C3F">
      <w:pPr>
        <w:pStyle w:val="Heading1"/>
        <w:numPr>
          <w:ilvl w:val="0"/>
          <w:numId w:val="10"/>
        </w:numPr>
        <w:pBdr>
          <w:top w:val="single" w:sz="12" w:space="2" w:color="auto"/>
        </w:pBdr>
        <w:jc w:val="both"/>
        <w:rPr>
          <w:rFonts w:eastAsia="Malgun Gothic"/>
          <w:lang w:val="en-US" w:eastAsia="ko-KR"/>
        </w:rPr>
      </w:pPr>
      <w:r w:rsidRPr="00E01145">
        <w:rPr>
          <w:sz w:val="32"/>
        </w:rPr>
        <w:t xml:space="preserve">RRM for </w:t>
      </w:r>
      <w:r>
        <w:rPr>
          <w:rFonts w:eastAsia="Malgun Gothic"/>
          <w:lang w:val="en-US" w:eastAsia="ko-KR"/>
        </w:rPr>
        <w:t>s</w:t>
      </w:r>
      <w:r w:rsidRPr="009431DD">
        <w:rPr>
          <w:rFonts w:eastAsia="Malgun Gothic"/>
          <w:lang w:val="en-US" w:eastAsia="ko-KR"/>
        </w:rPr>
        <w:t>upport of regenerative payload</w:t>
      </w:r>
    </w:p>
    <w:p w14:paraId="2A3C6B08" w14:textId="60983CB1" w:rsidR="00E01145" w:rsidRDefault="00AC71E7" w:rsidP="00E01145">
      <w:pPr>
        <w:rPr>
          <w:lang w:val="en-GB"/>
        </w:rPr>
      </w:pPr>
      <w:r>
        <w:rPr>
          <w:lang w:val="en-GB"/>
        </w:rPr>
        <w:t>In last RAN plenary meeting, the scope was agreed as following:</w:t>
      </w:r>
    </w:p>
    <w:tbl>
      <w:tblPr>
        <w:tblStyle w:val="TableGrid"/>
        <w:tblW w:w="0" w:type="auto"/>
        <w:tblLook w:val="04A0" w:firstRow="1" w:lastRow="0" w:firstColumn="1" w:lastColumn="0" w:noHBand="0" w:noVBand="1"/>
      </w:tblPr>
      <w:tblGrid>
        <w:gridCol w:w="9962"/>
      </w:tblGrid>
      <w:tr w:rsidR="00AC71E7" w14:paraId="4DC28012" w14:textId="77777777" w:rsidTr="00AC71E7">
        <w:tc>
          <w:tcPr>
            <w:tcW w:w="9962" w:type="dxa"/>
          </w:tcPr>
          <w:p w14:paraId="7EA25306" w14:textId="77777777" w:rsidR="00EA3D83" w:rsidRPr="00EA3D83" w:rsidRDefault="00EA3D83" w:rsidP="00EA3D83">
            <w:pPr>
              <w:spacing w:before="0" w:beforeAutospacing="0" w:after="0" w:line="276" w:lineRule="auto"/>
              <w:ind w:left="420"/>
              <w:rPr>
                <w:rFonts w:eastAsia="Calibri"/>
                <w:sz w:val="20"/>
                <w:szCs w:val="20"/>
                <w:lang w:eastAsia="ko-KR"/>
              </w:rPr>
            </w:pPr>
            <w:bookmarkStart w:id="4" w:name="_Hlk153358806"/>
            <w:r w:rsidRPr="00EA3D83">
              <w:rPr>
                <w:rFonts w:eastAsia="Malgun Gothic"/>
                <w:sz w:val="20"/>
                <w:szCs w:val="20"/>
                <w:lang w:eastAsia="ko-KR"/>
              </w:rPr>
              <w:t>Support of regenerative payload [RAN3, RAN2, RAN4]</w:t>
            </w:r>
          </w:p>
          <w:p w14:paraId="345817A6" w14:textId="77777777" w:rsidR="00EA3D83" w:rsidRPr="00EA3D83" w:rsidRDefault="00EA3D83" w:rsidP="00EA3D83">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EA3D83">
              <w:rPr>
                <w:sz w:val="20"/>
                <w:szCs w:val="20"/>
              </w:rPr>
              <w:t xml:space="preserve">Specify the support of </w:t>
            </w:r>
            <w:proofErr w:type="spellStart"/>
            <w:r w:rsidRPr="00EA3D83">
              <w:rPr>
                <w:sz w:val="20"/>
                <w:szCs w:val="20"/>
              </w:rPr>
              <w:t>gNB</w:t>
            </w:r>
            <w:proofErr w:type="spellEnd"/>
            <w:r w:rsidRPr="00EA3D83">
              <w:rPr>
                <w:sz w:val="20"/>
                <w:szCs w:val="20"/>
              </w:rPr>
              <w:t xml:space="preserve"> on board in TS 38.300</w:t>
            </w:r>
          </w:p>
          <w:p w14:paraId="3290088F" w14:textId="77777777" w:rsidR="00EA3D83" w:rsidRPr="00EA3D83" w:rsidRDefault="00EA3D83" w:rsidP="00EA3D83">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EA3D83">
              <w:rPr>
                <w:sz w:val="20"/>
                <w:szCs w:val="20"/>
              </w:rPr>
              <w:lastRenderedPageBreak/>
              <w:t>Specify, if needed, any necessary enhancements related to the intra and inter-</w:t>
            </w:r>
            <w:proofErr w:type="spellStart"/>
            <w:r w:rsidRPr="00EA3D83">
              <w:rPr>
                <w:sz w:val="20"/>
                <w:szCs w:val="20"/>
              </w:rPr>
              <w:t>gNB</w:t>
            </w:r>
            <w:proofErr w:type="spellEnd"/>
            <w:r w:rsidRPr="00EA3D83">
              <w:rPr>
                <w:sz w:val="20"/>
                <w:szCs w:val="20"/>
              </w:rPr>
              <w:t xml:space="preserve"> mobility, especially for </w:t>
            </w:r>
            <w:proofErr w:type="spellStart"/>
            <w:r w:rsidRPr="00EA3D83">
              <w:rPr>
                <w:sz w:val="20"/>
                <w:szCs w:val="20"/>
              </w:rPr>
              <w:t>Xn</w:t>
            </w:r>
            <w:proofErr w:type="spellEnd"/>
            <w:r w:rsidRPr="00EA3D83">
              <w:rPr>
                <w:sz w:val="20"/>
                <w:szCs w:val="20"/>
              </w:rPr>
              <w:t xml:space="preserve"> interface over feeder link or over ISL. [RAN3]</w:t>
            </w:r>
          </w:p>
          <w:p w14:paraId="7F507C6E" w14:textId="1C482ACA" w:rsidR="00AC71E7" w:rsidRPr="00EA3D83" w:rsidRDefault="00EA3D83" w:rsidP="00EA3D83">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EA3D83">
              <w:rPr>
                <w:sz w:val="20"/>
                <w:szCs w:val="20"/>
              </w:rPr>
              <w:t>Note: if any additional necessary stage-3 specifications impact for e.g. NGAP is identified, RAN3 will handle it.</w:t>
            </w:r>
            <w:bookmarkEnd w:id="4"/>
          </w:p>
        </w:tc>
      </w:tr>
    </w:tbl>
    <w:p w14:paraId="5439074C" w14:textId="2031583E" w:rsidR="00AC71E7" w:rsidRDefault="00EA3D83" w:rsidP="00E01145">
      <w:pPr>
        <w:rPr>
          <w:lang w:eastAsia="ko-KR"/>
        </w:rPr>
      </w:pPr>
      <w:r>
        <w:rPr>
          <w:lang w:eastAsia="ko-KR"/>
        </w:rPr>
        <w:lastRenderedPageBreak/>
        <w:t xml:space="preserve">Since the regenerative model is used at satellite, the feeder link does not exist in this case, and therefore corresponding RAN4 requirement may need some clarification. For example, in timing requirement, we have following </w:t>
      </w:r>
      <w:proofErr w:type="spellStart"/>
      <w:r>
        <w:rPr>
          <w:lang w:eastAsia="ko-KR"/>
        </w:rPr>
        <w:t>Te</w:t>
      </w:r>
      <w:proofErr w:type="spellEnd"/>
      <w:r>
        <w:rPr>
          <w:lang w:eastAsia="ko-KR"/>
        </w:rPr>
        <w:t xml:space="preserve"> requirement in NTN,</w:t>
      </w:r>
    </w:p>
    <w:p w14:paraId="12F2A9FC" w14:textId="60EC3BD9" w:rsidR="00EA3D83" w:rsidRDefault="005426D6" w:rsidP="00E01145">
      <w:pPr>
        <w:rPr>
          <w:lang w:eastAsia="ko-KR"/>
        </w:rPr>
      </w:pPr>
      <w:r>
        <w:rPr>
          <w:noProof/>
          <w:lang w:eastAsia="ko-KR"/>
        </w:rPr>
        <w:drawing>
          <wp:inline distT="0" distB="0" distL="0" distR="0" wp14:anchorId="61C0D5E9" wp14:editId="27D60A7F">
            <wp:extent cx="6332220" cy="3514725"/>
            <wp:effectExtent l="0" t="0" r="5080" b="3175"/>
            <wp:docPr id="1637258804" name="Picture 1" descr="A text on a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58804" name="Picture 1" descr="A text on a pag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32220" cy="3514725"/>
                    </a:xfrm>
                    <a:prstGeom prst="rect">
                      <a:avLst/>
                    </a:prstGeom>
                  </pic:spPr>
                </pic:pic>
              </a:graphicData>
            </a:graphic>
          </wp:inline>
        </w:drawing>
      </w:r>
    </w:p>
    <w:p w14:paraId="2F36BDF5" w14:textId="0D7AA8B6" w:rsidR="005426D6" w:rsidRDefault="005426D6" w:rsidP="005426D6">
      <w:pPr>
        <w:jc w:val="both"/>
        <w:rPr>
          <w:lang w:eastAsia="ko-KR"/>
        </w:rPr>
      </w:pPr>
      <w:r>
        <w:rPr>
          <w:lang w:eastAsia="ko-KR"/>
        </w:rPr>
        <w:t>Since the common TA</w:t>
      </w:r>
      <w:r w:rsidR="00AB2333">
        <w:rPr>
          <w:lang w:eastAsia="ko-KR"/>
        </w:rPr>
        <w:t xml:space="preserve"> and </w:t>
      </w:r>
      <w:proofErr w:type="spellStart"/>
      <w:r w:rsidR="00AB2333">
        <w:rPr>
          <w:lang w:eastAsia="ko-KR"/>
        </w:rPr>
        <w:t>K</w:t>
      </w:r>
      <w:r w:rsidR="00AB2333">
        <w:rPr>
          <w:vertAlign w:val="subscript"/>
          <w:lang w:eastAsia="ko-KR"/>
        </w:rPr>
        <w:t>mac</w:t>
      </w:r>
      <w:proofErr w:type="spellEnd"/>
      <w:r>
        <w:rPr>
          <w:lang w:eastAsia="ko-KR"/>
        </w:rPr>
        <w:t xml:space="preserve"> shall always be 0 in the regenerative mode, it may need to clarify such common TA parameter = 0 in timing requirement. Moreover, when regenerative mode is used, satellite switching can directly mean cell switch, and therefore there shall not be any satellite switching without PCI change for regenerative mode.</w:t>
      </w:r>
    </w:p>
    <w:p w14:paraId="23332172" w14:textId="495444E4" w:rsidR="005426D6" w:rsidRDefault="005426D6" w:rsidP="005426D6">
      <w:pPr>
        <w:rPr>
          <w:b/>
          <w:bCs/>
          <w:i/>
          <w:iCs/>
          <w:lang w:val="en-GB"/>
        </w:rPr>
      </w:pPr>
      <w:r w:rsidRPr="009C523B">
        <w:rPr>
          <w:b/>
          <w:bCs/>
          <w:i/>
          <w:iCs/>
          <w:lang w:val="en-GB"/>
        </w:rPr>
        <w:t xml:space="preserve">Proposal </w:t>
      </w:r>
      <w:r w:rsidR="003113A2">
        <w:rPr>
          <w:b/>
          <w:bCs/>
          <w:i/>
          <w:iCs/>
          <w:lang w:val="en-GB"/>
        </w:rPr>
        <w:t>4</w:t>
      </w:r>
      <w:r w:rsidRPr="009C523B">
        <w:rPr>
          <w:b/>
          <w:bCs/>
          <w:i/>
          <w:iCs/>
          <w:lang w:val="en-GB"/>
        </w:rPr>
        <w:t xml:space="preserve">: </w:t>
      </w:r>
      <w:r>
        <w:rPr>
          <w:b/>
          <w:bCs/>
          <w:i/>
          <w:iCs/>
          <w:lang w:val="en-GB"/>
        </w:rPr>
        <w:t xml:space="preserve">RAN4 to clarify common TA = 0 in timing requirement for </w:t>
      </w:r>
      <w:r w:rsidRPr="005426D6">
        <w:rPr>
          <w:b/>
          <w:bCs/>
          <w:i/>
          <w:iCs/>
          <w:lang w:val="en-GB"/>
        </w:rPr>
        <w:t xml:space="preserve">regenerative </w:t>
      </w:r>
      <w:r>
        <w:rPr>
          <w:b/>
          <w:bCs/>
          <w:i/>
          <w:iCs/>
          <w:lang w:val="en-GB"/>
        </w:rPr>
        <w:t>mode of NTN.</w:t>
      </w:r>
    </w:p>
    <w:p w14:paraId="390D06DB" w14:textId="7C191F50" w:rsidR="005426D6" w:rsidRPr="005426D6" w:rsidRDefault="005426D6" w:rsidP="005426D6">
      <w:pPr>
        <w:rPr>
          <w:b/>
          <w:bCs/>
          <w:i/>
          <w:iCs/>
          <w:lang w:val="en-GB"/>
        </w:rPr>
      </w:pPr>
      <w:r w:rsidRPr="009C523B">
        <w:rPr>
          <w:b/>
          <w:bCs/>
          <w:i/>
          <w:iCs/>
          <w:lang w:val="en-GB"/>
        </w:rPr>
        <w:t xml:space="preserve">Proposal </w:t>
      </w:r>
      <w:r w:rsidR="003113A2">
        <w:rPr>
          <w:b/>
          <w:bCs/>
          <w:i/>
          <w:iCs/>
          <w:lang w:val="en-GB"/>
        </w:rPr>
        <w:t>5</w:t>
      </w:r>
      <w:r w:rsidRPr="009C523B">
        <w:rPr>
          <w:b/>
          <w:bCs/>
          <w:i/>
          <w:iCs/>
          <w:lang w:val="en-GB"/>
        </w:rPr>
        <w:t xml:space="preserve">: </w:t>
      </w:r>
      <w:r>
        <w:rPr>
          <w:b/>
          <w:bCs/>
          <w:i/>
          <w:iCs/>
          <w:lang w:val="en-GB"/>
        </w:rPr>
        <w:t xml:space="preserve">RAN4 to clarify requirement of </w:t>
      </w:r>
      <w:r w:rsidRPr="005426D6">
        <w:rPr>
          <w:b/>
          <w:bCs/>
          <w:i/>
          <w:iCs/>
          <w:lang w:val="en-GB"/>
        </w:rPr>
        <w:t xml:space="preserve">satellite switching without PCI change </w:t>
      </w:r>
      <w:r>
        <w:rPr>
          <w:b/>
          <w:bCs/>
          <w:i/>
          <w:iCs/>
          <w:lang w:val="en-GB"/>
        </w:rPr>
        <w:t xml:space="preserve">is not applied for </w:t>
      </w:r>
      <w:r w:rsidRPr="005426D6">
        <w:rPr>
          <w:b/>
          <w:bCs/>
          <w:i/>
          <w:iCs/>
          <w:lang w:val="en-GB"/>
        </w:rPr>
        <w:t xml:space="preserve">regenerative </w:t>
      </w:r>
      <w:r>
        <w:rPr>
          <w:b/>
          <w:bCs/>
          <w:i/>
          <w:iCs/>
          <w:lang w:val="en-GB"/>
        </w:rPr>
        <w:t>mode of NTN.</w:t>
      </w:r>
    </w:p>
    <w:p w14:paraId="18D3FB65" w14:textId="04BFA8C8" w:rsidR="00E01145" w:rsidRDefault="00E01145" w:rsidP="00E01145">
      <w:pPr>
        <w:pStyle w:val="Heading1"/>
        <w:numPr>
          <w:ilvl w:val="0"/>
          <w:numId w:val="10"/>
        </w:numPr>
        <w:pBdr>
          <w:top w:val="single" w:sz="12" w:space="2" w:color="auto"/>
        </w:pBdr>
        <w:jc w:val="both"/>
        <w:rPr>
          <w:rFonts w:eastAsia="Malgun Gothic"/>
          <w:lang w:val="en-US" w:eastAsia="ko-KR"/>
        </w:rPr>
      </w:pPr>
      <w:r w:rsidRPr="00E01145">
        <w:rPr>
          <w:sz w:val="32"/>
        </w:rPr>
        <w:t xml:space="preserve">RRM for </w:t>
      </w:r>
      <w:r>
        <w:rPr>
          <w:rFonts w:eastAsia="Malgun Gothic"/>
          <w:lang w:val="en-US" w:eastAsia="ko-KR"/>
        </w:rPr>
        <w:t>s</w:t>
      </w:r>
      <w:r w:rsidRPr="009431DD">
        <w:rPr>
          <w:rFonts w:eastAsia="Malgun Gothic"/>
          <w:lang w:val="en-US" w:eastAsia="ko-KR"/>
        </w:rPr>
        <w:t xml:space="preserve">upport of Rel-17 RedCap and Rel-18 </w:t>
      </w:r>
      <w:proofErr w:type="spellStart"/>
      <w:r w:rsidRPr="009431DD">
        <w:rPr>
          <w:rFonts w:eastAsia="Malgun Gothic"/>
          <w:lang w:val="en-US" w:eastAsia="ko-KR"/>
        </w:rPr>
        <w:t>eRedCap</w:t>
      </w:r>
      <w:proofErr w:type="spellEnd"/>
      <w:r w:rsidRPr="009431DD">
        <w:rPr>
          <w:rFonts w:eastAsia="Malgun Gothic"/>
          <w:lang w:val="en-US" w:eastAsia="ko-KR"/>
        </w:rPr>
        <w:t xml:space="preserve"> UEs with NR NTN</w:t>
      </w:r>
    </w:p>
    <w:p w14:paraId="34478B59" w14:textId="655824B7" w:rsidR="005426D6" w:rsidRDefault="005426D6" w:rsidP="005426D6">
      <w:pPr>
        <w:rPr>
          <w:lang w:val="en-GB"/>
        </w:rPr>
      </w:pPr>
      <w:r>
        <w:rPr>
          <w:lang w:val="en-GB"/>
        </w:rPr>
        <w:t>In last RAN plenary meeting, the scope for NTN with RedCap/</w:t>
      </w:r>
      <w:proofErr w:type="spellStart"/>
      <w:r>
        <w:rPr>
          <w:lang w:val="en-GB"/>
        </w:rPr>
        <w:t>eRedCap</w:t>
      </w:r>
      <w:proofErr w:type="spellEnd"/>
      <w:r>
        <w:rPr>
          <w:lang w:val="en-GB"/>
        </w:rPr>
        <w:t xml:space="preserve"> was agreed as following:</w:t>
      </w:r>
    </w:p>
    <w:tbl>
      <w:tblPr>
        <w:tblStyle w:val="TableGrid"/>
        <w:tblW w:w="0" w:type="auto"/>
        <w:tblLook w:val="04A0" w:firstRow="1" w:lastRow="0" w:firstColumn="1" w:lastColumn="0" w:noHBand="0" w:noVBand="1"/>
      </w:tblPr>
      <w:tblGrid>
        <w:gridCol w:w="9962"/>
      </w:tblGrid>
      <w:tr w:rsidR="005426D6" w14:paraId="5D591124" w14:textId="77777777" w:rsidTr="005426D6">
        <w:tc>
          <w:tcPr>
            <w:tcW w:w="9962" w:type="dxa"/>
          </w:tcPr>
          <w:p w14:paraId="1BCC29D5" w14:textId="77777777" w:rsidR="00C44884" w:rsidRPr="00C44884" w:rsidRDefault="00C44884" w:rsidP="00C44884">
            <w:pPr>
              <w:spacing w:before="0" w:beforeAutospacing="0" w:after="0" w:line="276" w:lineRule="auto"/>
              <w:rPr>
                <w:rFonts w:eastAsia="Malgun Gothic"/>
                <w:sz w:val="20"/>
                <w:szCs w:val="20"/>
                <w:lang w:eastAsia="ko-KR"/>
              </w:rPr>
            </w:pPr>
            <w:r w:rsidRPr="00C44884">
              <w:rPr>
                <w:rFonts w:eastAsia="Malgun Gothic"/>
                <w:sz w:val="20"/>
                <w:szCs w:val="20"/>
                <w:lang w:eastAsia="ko-KR"/>
              </w:rPr>
              <w:t xml:space="preserve">Support of </w:t>
            </w:r>
            <w:r w:rsidRPr="00C44884">
              <w:rPr>
                <w:rFonts w:eastAsia="Malgun Gothic"/>
                <w:sz w:val="20"/>
                <w:szCs w:val="20"/>
                <w:highlight w:val="yellow"/>
                <w:lang w:eastAsia="ko-KR"/>
              </w:rPr>
              <w:t xml:space="preserve">Rel-17 RedCap and Rel-18 </w:t>
            </w:r>
            <w:proofErr w:type="spellStart"/>
            <w:r w:rsidRPr="00C44884">
              <w:rPr>
                <w:rFonts w:eastAsia="Malgun Gothic"/>
                <w:sz w:val="20"/>
                <w:szCs w:val="20"/>
                <w:highlight w:val="yellow"/>
                <w:lang w:eastAsia="ko-KR"/>
              </w:rPr>
              <w:t>eRedCap</w:t>
            </w:r>
            <w:proofErr w:type="spellEnd"/>
            <w:r w:rsidRPr="00C44884">
              <w:rPr>
                <w:rFonts w:eastAsia="Malgun Gothic"/>
                <w:sz w:val="20"/>
                <w:szCs w:val="20"/>
                <w:highlight w:val="yellow"/>
                <w:lang w:eastAsia="ko-KR"/>
              </w:rPr>
              <w:t xml:space="preserve"> UEs</w:t>
            </w:r>
            <w:r w:rsidRPr="00C44884">
              <w:rPr>
                <w:rFonts w:eastAsia="Malgun Gothic"/>
                <w:sz w:val="20"/>
                <w:szCs w:val="20"/>
                <w:lang w:eastAsia="ko-KR"/>
              </w:rPr>
              <w:t xml:space="preserve"> with NR NTN operating in FR1-NTN bands [RAN4, RAN1]</w:t>
            </w:r>
          </w:p>
          <w:p w14:paraId="026D8E59" w14:textId="77777777" w:rsidR="00C44884" w:rsidRPr="00C44884" w:rsidRDefault="00C44884" w:rsidP="00C44884">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highlight w:val="yellow"/>
              </w:rPr>
            </w:pPr>
            <w:r w:rsidRPr="00C44884">
              <w:rPr>
                <w:sz w:val="20"/>
                <w:szCs w:val="20"/>
                <w:highlight w:val="yellow"/>
              </w:rPr>
              <w:t xml:space="preserve">For full-duplex and half duplex FDD RedCap and </w:t>
            </w:r>
            <w:proofErr w:type="spellStart"/>
            <w:r w:rsidRPr="00C44884">
              <w:rPr>
                <w:sz w:val="20"/>
                <w:szCs w:val="20"/>
                <w:highlight w:val="yellow"/>
              </w:rPr>
              <w:t>eRedCap</w:t>
            </w:r>
            <w:proofErr w:type="spellEnd"/>
            <w:r w:rsidRPr="00C44884">
              <w:rPr>
                <w:sz w:val="20"/>
                <w:szCs w:val="20"/>
                <w:highlight w:val="yellow"/>
              </w:rPr>
              <w:t xml:space="preserve"> UEs, define the RF and RRM requirements [RAN4]</w:t>
            </w:r>
          </w:p>
          <w:p w14:paraId="3FFAA820" w14:textId="77777777" w:rsidR="00C44884" w:rsidRPr="00C44884" w:rsidRDefault="00C44884" w:rsidP="00C44884">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highlight w:val="yellow"/>
              </w:rPr>
              <w:t xml:space="preserve">For HD-FDD RedCap UEs and </w:t>
            </w:r>
            <w:proofErr w:type="spellStart"/>
            <w:r w:rsidRPr="00C44884">
              <w:rPr>
                <w:sz w:val="20"/>
                <w:szCs w:val="20"/>
                <w:highlight w:val="yellow"/>
              </w:rPr>
              <w:t>eRedCap</w:t>
            </w:r>
            <w:proofErr w:type="spellEnd"/>
            <w:r w:rsidRPr="00C44884">
              <w:rPr>
                <w:sz w:val="20"/>
                <w:szCs w:val="20"/>
                <w:highlight w:val="yellow"/>
              </w:rPr>
              <w:t xml:space="preserve"> UEs, specify enhancements for mitigating issues caused by TA </w:t>
            </w:r>
            <w:r w:rsidRPr="00C44884">
              <w:rPr>
                <w:sz w:val="20"/>
                <w:szCs w:val="20"/>
                <w:highlight w:val="yellow"/>
              </w:rPr>
              <w:lastRenderedPageBreak/>
              <w:t xml:space="preserve">mismatch between actual TA used by the UE and assumed TA for the UE at the </w:t>
            </w:r>
            <w:proofErr w:type="spellStart"/>
            <w:r w:rsidRPr="00C44884">
              <w:rPr>
                <w:sz w:val="20"/>
                <w:szCs w:val="20"/>
                <w:highlight w:val="yellow"/>
              </w:rPr>
              <w:t>gNB</w:t>
            </w:r>
            <w:proofErr w:type="spellEnd"/>
            <w:r w:rsidRPr="00C44884">
              <w:rPr>
                <w:sz w:val="20"/>
                <w:szCs w:val="20"/>
              </w:rPr>
              <w:t xml:space="preserve"> [RAN1]</w:t>
            </w:r>
          </w:p>
          <w:p w14:paraId="0E10AB86" w14:textId="77777777" w:rsidR="00C44884" w:rsidRPr="00C44884" w:rsidRDefault="00C44884" w:rsidP="00C44884">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Enhancements are targeted for the following HD collisions cases (cases 3 and 4):</w:t>
            </w:r>
          </w:p>
          <w:p w14:paraId="3090DA45" w14:textId="77777777" w:rsidR="00C44884" w:rsidRPr="00C44884" w:rsidRDefault="00C44884" w:rsidP="00C44884">
            <w:pPr>
              <w:pStyle w:val="ListParagraph"/>
              <w:numPr>
                <w:ilvl w:val="2"/>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 xml:space="preserve">Semi-statically configured DL reception collides with semi-statically configured UL transmission </w:t>
            </w:r>
          </w:p>
          <w:p w14:paraId="40125173" w14:textId="77777777" w:rsidR="00C44884" w:rsidRPr="00C44884" w:rsidRDefault="00C44884" w:rsidP="00C44884">
            <w:pPr>
              <w:pStyle w:val="ListParagraph"/>
              <w:numPr>
                <w:ilvl w:val="2"/>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Dynamically scheduled DL reception collides with dynamic scheduled UL transmission</w:t>
            </w:r>
          </w:p>
          <w:p w14:paraId="19CB6E17" w14:textId="77777777" w:rsidR="00C44884" w:rsidRPr="00C44884" w:rsidRDefault="00C44884" w:rsidP="00C44884">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Note: enhancements for other HD collision cases are not targeted. Enhancements for HD collision cases 3 and 4 that may improve other HD collision cases are not precluded.</w:t>
            </w:r>
          </w:p>
          <w:p w14:paraId="2C4B1C82" w14:textId="77777777" w:rsidR="00C44884" w:rsidRPr="00C44884" w:rsidRDefault="00C44884" w:rsidP="00C44884">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Note: potential work in RAN2, if any, starts after RAN1 has decided on the solution.</w:t>
            </w:r>
          </w:p>
          <w:p w14:paraId="58916AE3" w14:textId="77777777" w:rsidR="00C44884" w:rsidRPr="00C44884" w:rsidRDefault="00C44884" w:rsidP="00C44884">
            <w:pPr>
              <w:pStyle w:val="ListParagraph"/>
              <w:numPr>
                <w:ilvl w:val="0"/>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Notes for this objective:</w:t>
            </w:r>
          </w:p>
          <w:p w14:paraId="41FB3625" w14:textId="286ED3C4" w:rsidR="005426D6" w:rsidRPr="00C44884" w:rsidRDefault="00C44884" w:rsidP="005426D6">
            <w:pPr>
              <w:pStyle w:val="ListParagraph"/>
              <w:numPr>
                <w:ilvl w:val="1"/>
                <w:numId w:val="85"/>
              </w:numPr>
              <w:overflowPunct/>
              <w:autoSpaceDE/>
              <w:autoSpaceDN/>
              <w:adjustRightInd/>
              <w:spacing w:before="0" w:beforeAutospacing="0" w:after="0" w:line="276" w:lineRule="auto"/>
              <w:ind w:firstLineChars="0"/>
              <w:contextualSpacing/>
              <w:jc w:val="both"/>
              <w:textAlignment w:val="auto"/>
              <w:rPr>
                <w:sz w:val="20"/>
                <w:szCs w:val="20"/>
              </w:rPr>
            </w:pPr>
            <w:r w:rsidRPr="00C44884">
              <w:rPr>
                <w:sz w:val="20"/>
                <w:szCs w:val="20"/>
              </w:rPr>
              <w:t>GNSS (Global Navigation Satellite Systems) capabilities and simultaneous GNSS and NR-NTN operation is supported in RedCap/</w:t>
            </w:r>
            <w:proofErr w:type="spellStart"/>
            <w:r w:rsidRPr="00C44884">
              <w:rPr>
                <w:sz w:val="20"/>
                <w:szCs w:val="20"/>
              </w:rPr>
              <w:t>eRedCap</w:t>
            </w:r>
            <w:proofErr w:type="spellEnd"/>
            <w:r w:rsidRPr="00C44884">
              <w:rPr>
                <w:sz w:val="20"/>
                <w:szCs w:val="20"/>
              </w:rPr>
              <w:t xml:space="preserve"> UE.</w:t>
            </w:r>
          </w:p>
        </w:tc>
      </w:tr>
    </w:tbl>
    <w:p w14:paraId="767A7FD1" w14:textId="0459A5AA" w:rsidR="005426D6" w:rsidRPr="00C9518F" w:rsidRDefault="00C9518F" w:rsidP="00C9518F">
      <w:pPr>
        <w:rPr>
          <w:lang w:val="en-GB"/>
        </w:rPr>
      </w:pPr>
      <w:r w:rsidRPr="00C9518F">
        <w:rPr>
          <w:lang w:val="en-GB"/>
        </w:rPr>
        <w:lastRenderedPageBreak/>
        <w:t>Regarding the R17 RedCap UE, the key features impacted RRM requirements are:</w:t>
      </w:r>
    </w:p>
    <w:p w14:paraId="5800A805" w14:textId="03E918B4" w:rsidR="00C9518F" w:rsidRPr="00C9518F" w:rsidRDefault="00C9518F" w:rsidP="00430F35">
      <w:pPr>
        <w:pStyle w:val="ListParagraph"/>
        <w:numPr>
          <w:ilvl w:val="0"/>
          <w:numId w:val="90"/>
        </w:numPr>
        <w:spacing w:before="0" w:beforeAutospacing="0" w:line="240" w:lineRule="auto"/>
        <w:ind w:firstLineChars="0"/>
        <w:rPr>
          <w:sz w:val="24"/>
          <w:szCs w:val="24"/>
          <w:lang w:val="en-GB"/>
        </w:rPr>
      </w:pPr>
      <w:r w:rsidRPr="00C9518F">
        <w:rPr>
          <w:sz w:val="24"/>
          <w:szCs w:val="24"/>
          <w:lang w:val="en-GB"/>
        </w:rPr>
        <w:t>1Rx</w:t>
      </w:r>
    </w:p>
    <w:p w14:paraId="6DEC7E08" w14:textId="076D4EF3" w:rsidR="00C9518F" w:rsidRPr="00C9518F" w:rsidRDefault="00C9518F" w:rsidP="00430F35">
      <w:pPr>
        <w:pStyle w:val="ListParagraph"/>
        <w:numPr>
          <w:ilvl w:val="0"/>
          <w:numId w:val="90"/>
        </w:numPr>
        <w:spacing w:before="0" w:beforeAutospacing="0" w:line="240" w:lineRule="auto"/>
        <w:ind w:firstLineChars="0"/>
        <w:rPr>
          <w:sz w:val="24"/>
          <w:szCs w:val="24"/>
          <w:lang w:val="en-GB"/>
        </w:rPr>
      </w:pPr>
      <w:r w:rsidRPr="00C9518F">
        <w:rPr>
          <w:sz w:val="24"/>
          <w:szCs w:val="24"/>
          <w:lang w:val="en-GB"/>
        </w:rPr>
        <w:t>RRM relaxation</w:t>
      </w:r>
    </w:p>
    <w:p w14:paraId="7DEE7958" w14:textId="2C64ED9B" w:rsidR="00C9518F" w:rsidRPr="00C9518F" w:rsidRDefault="00C9518F" w:rsidP="00430F35">
      <w:pPr>
        <w:pStyle w:val="ListParagraph"/>
        <w:numPr>
          <w:ilvl w:val="0"/>
          <w:numId w:val="90"/>
        </w:numPr>
        <w:spacing w:before="0" w:beforeAutospacing="0" w:line="240" w:lineRule="auto"/>
        <w:ind w:firstLineChars="0"/>
        <w:rPr>
          <w:sz w:val="24"/>
          <w:szCs w:val="24"/>
          <w:lang w:val="en-GB"/>
        </w:rPr>
      </w:pPr>
      <w:r w:rsidRPr="00C9518F">
        <w:rPr>
          <w:sz w:val="24"/>
          <w:szCs w:val="24"/>
          <w:lang w:val="en-GB"/>
        </w:rPr>
        <w:t>Idle/Inactive mode eDRX (Inactive mode</w:t>
      </w:r>
      <w:r w:rsidR="003A268B">
        <w:rPr>
          <w:sz w:val="24"/>
          <w:szCs w:val="24"/>
          <w:lang w:val="en-GB"/>
        </w:rPr>
        <w:t xml:space="preserve"> eDRX&lt;=10.24s</w:t>
      </w:r>
      <w:r w:rsidRPr="00C9518F">
        <w:rPr>
          <w:sz w:val="24"/>
          <w:szCs w:val="24"/>
          <w:lang w:val="en-GB"/>
        </w:rPr>
        <w:t>)</w:t>
      </w:r>
    </w:p>
    <w:p w14:paraId="27F5D4F5" w14:textId="41B6B48B" w:rsidR="00C9518F" w:rsidRDefault="00C9518F" w:rsidP="00430F35">
      <w:pPr>
        <w:pStyle w:val="ListParagraph"/>
        <w:numPr>
          <w:ilvl w:val="0"/>
          <w:numId w:val="90"/>
        </w:numPr>
        <w:spacing w:before="0" w:beforeAutospacing="0" w:line="240" w:lineRule="auto"/>
        <w:ind w:firstLineChars="0"/>
        <w:rPr>
          <w:sz w:val="24"/>
          <w:szCs w:val="24"/>
          <w:lang w:val="en-GB"/>
        </w:rPr>
      </w:pPr>
      <w:r w:rsidRPr="00C9518F">
        <w:rPr>
          <w:sz w:val="24"/>
          <w:szCs w:val="24"/>
          <w:lang w:val="en-GB"/>
        </w:rPr>
        <w:t>NCD-SSB</w:t>
      </w:r>
    </w:p>
    <w:p w14:paraId="7B325858" w14:textId="00E46AFE" w:rsidR="00463A96" w:rsidRPr="00C9518F" w:rsidRDefault="00463A96" w:rsidP="00430F35">
      <w:pPr>
        <w:pStyle w:val="ListParagraph"/>
        <w:numPr>
          <w:ilvl w:val="0"/>
          <w:numId w:val="90"/>
        </w:numPr>
        <w:spacing w:before="0" w:beforeAutospacing="0" w:line="240" w:lineRule="auto"/>
        <w:ind w:firstLineChars="0"/>
        <w:rPr>
          <w:sz w:val="24"/>
          <w:szCs w:val="24"/>
          <w:lang w:val="en-GB"/>
        </w:rPr>
      </w:pPr>
      <w:r>
        <w:rPr>
          <w:sz w:val="24"/>
          <w:szCs w:val="24"/>
          <w:lang w:val="en-GB"/>
        </w:rPr>
        <w:t>HD-FDD</w:t>
      </w:r>
    </w:p>
    <w:p w14:paraId="49F11223" w14:textId="441E0ECB" w:rsidR="00C9518F" w:rsidRDefault="00C9518F" w:rsidP="00C9518F">
      <w:pPr>
        <w:rPr>
          <w:lang w:val="en-GB"/>
        </w:rPr>
      </w:pPr>
      <w:bookmarkStart w:id="5" w:name="OLE_LINK5"/>
      <w:bookmarkStart w:id="6" w:name="OLE_LINK6"/>
      <w:r w:rsidRPr="00C9518F">
        <w:rPr>
          <w:lang w:val="en-GB"/>
        </w:rPr>
        <w:t>Regarding the R1</w:t>
      </w:r>
      <w:r>
        <w:rPr>
          <w:lang w:val="en-GB"/>
        </w:rPr>
        <w:t>8</w:t>
      </w:r>
      <w:r w:rsidRPr="00C9518F">
        <w:rPr>
          <w:lang w:val="en-GB"/>
        </w:rPr>
        <w:t xml:space="preserve"> </w:t>
      </w:r>
      <w:proofErr w:type="spellStart"/>
      <w:r>
        <w:rPr>
          <w:lang w:val="en-GB"/>
        </w:rPr>
        <w:t>e</w:t>
      </w:r>
      <w:r w:rsidRPr="00C9518F">
        <w:rPr>
          <w:lang w:val="en-GB"/>
        </w:rPr>
        <w:t>RedCap</w:t>
      </w:r>
      <w:proofErr w:type="spellEnd"/>
      <w:r w:rsidRPr="00C9518F">
        <w:rPr>
          <w:lang w:val="en-GB"/>
        </w:rPr>
        <w:t xml:space="preserve"> UE, the key features impacted RRM requirements are:</w:t>
      </w:r>
    </w:p>
    <w:bookmarkEnd w:id="5"/>
    <w:bookmarkEnd w:id="6"/>
    <w:p w14:paraId="1483D2A9" w14:textId="0BC1D02A" w:rsidR="003A268B" w:rsidRPr="00C9518F" w:rsidRDefault="003A268B" w:rsidP="003A268B">
      <w:pPr>
        <w:pStyle w:val="ListParagraph"/>
        <w:numPr>
          <w:ilvl w:val="0"/>
          <w:numId w:val="90"/>
        </w:numPr>
        <w:spacing w:line="240" w:lineRule="auto"/>
        <w:ind w:firstLineChars="0"/>
        <w:rPr>
          <w:sz w:val="24"/>
          <w:szCs w:val="24"/>
          <w:lang w:val="en-GB"/>
        </w:rPr>
      </w:pPr>
      <w:r w:rsidRPr="00C9518F">
        <w:rPr>
          <w:sz w:val="24"/>
          <w:szCs w:val="24"/>
          <w:lang w:val="en-GB"/>
        </w:rPr>
        <w:t>Inactive mode eDRX</w:t>
      </w:r>
      <w:r>
        <w:rPr>
          <w:sz w:val="24"/>
          <w:szCs w:val="24"/>
          <w:lang w:val="en-GB"/>
        </w:rPr>
        <w:t>&gt;=10.24s</w:t>
      </w:r>
    </w:p>
    <w:p w14:paraId="03325010" w14:textId="77777777" w:rsidR="00430F35" w:rsidRDefault="00463A96" w:rsidP="00430F35">
      <w:pPr>
        <w:jc w:val="both"/>
        <w:rPr>
          <w:lang w:val="en-GB"/>
        </w:rPr>
      </w:pPr>
      <w:r>
        <w:rPr>
          <w:lang w:val="en-GB"/>
        </w:rPr>
        <w:t xml:space="preserve">Since the scenario is changed a lot for NTN compared with the legacy TN network, it’s hard to say if the legacy </w:t>
      </w:r>
      <w:r w:rsidR="00430F35">
        <w:rPr>
          <w:lang w:val="en-GB"/>
        </w:rPr>
        <w:t>RedCap/</w:t>
      </w:r>
      <w:proofErr w:type="spellStart"/>
      <w:r w:rsidR="00430F35">
        <w:rPr>
          <w:lang w:val="en-GB"/>
        </w:rPr>
        <w:t>eRedCap</w:t>
      </w:r>
      <w:proofErr w:type="spellEnd"/>
      <w:r w:rsidR="00430F35">
        <w:rPr>
          <w:lang w:val="en-GB"/>
        </w:rPr>
        <w:t xml:space="preserve"> requirement can be still appliable to NTN UE in R19. We suggest </w:t>
      </w:r>
      <w:proofErr w:type="gramStart"/>
      <w:r w:rsidR="00430F35">
        <w:rPr>
          <w:lang w:val="en-GB"/>
        </w:rPr>
        <w:t>to have</w:t>
      </w:r>
      <w:proofErr w:type="gramEnd"/>
      <w:r w:rsidR="00430F35">
        <w:rPr>
          <w:lang w:val="en-GB"/>
        </w:rPr>
        <w:t xml:space="preserve"> more discussion on all these RRM related features for RedCap/</w:t>
      </w:r>
      <w:proofErr w:type="spellStart"/>
      <w:r w:rsidR="00430F35">
        <w:rPr>
          <w:lang w:val="en-GB"/>
        </w:rPr>
        <w:t>eRedCap</w:t>
      </w:r>
      <w:proofErr w:type="spellEnd"/>
      <w:r w:rsidR="00430F35">
        <w:rPr>
          <w:lang w:val="en-GB"/>
        </w:rPr>
        <w:t xml:space="preserve"> NTN. For HD-FDD RedCap UE in NTN, even though RAN1 will discuss the</w:t>
      </w:r>
      <w:r w:rsidR="00430F35" w:rsidRPr="00430F35">
        <w:t xml:space="preserve"> </w:t>
      </w:r>
      <w:r w:rsidR="00430F35" w:rsidRPr="00430F35">
        <w:rPr>
          <w:lang w:val="en-GB"/>
        </w:rPr>
        <w:t>HD collisions cases</w:t>
      </w:r>
      <w:r w:rsidR="00430F35">
        <w:rPr>
          <w:lang w:val="en-GB"/>
        </w:rPr>
        <w:t xml:space="preserve"> for case 3 and case 4, the DL RRM measurement RS (including serving and neighbour cell) colliding with UL transmission still needs to be discussed in RAN4. </w:t>
      </w:r>
    </w:p>
    <w:p w14:paraId="6B3835E5" w14:textId="33E15A7D" w:rsidR="003A268B" w:rsidRDefault="00430F35" w:rsidP="000A52A0">
      <w:pPr>
        <w:jc w:val="both"/>
        <w:rPr>
          <w:lang w:val="en-GB"/>
        </w:rPr>
      </w:pPr>
      <w:r>
        <w:rPr>
          <w:lang w:val="en-GB"/>
        </w:rPr>
        <w:t xml:space="preserve">For 1Rx, NCD-SSB and HD-FDD, we think the legacy RedCap requirement can be used as baseline, while RAN4 needs more discussion on whether new requirement shall be introduced for RRM relaxation and eDRX. For example, </w:t>
      </w:r>
      <w:r w:rsidR="000A52A0">
        <w:rPr>
          <w:lang w:val="en-GB"/>
        </w:rPr>
        <w:t>i</w:t>
      </w:r>
      <w:r w:rsidR="000A52A0" w:rsidRPr="000A52A0">
        <w:rPr>
          <w:lang w:val="en-GB"/>
        </w:rPr>
        <w:t>n legacy NTN requirement, the 2.56</w:t>
      </w:r>
      <w:r w:rsidR="000A52A0">
        <w:rPr>
          <w:lang w:val="en-GB"/>
        </w:rPr>
        <w:t>s</w:t>
      </w:r>
      <w:r w:rsidR="000A52A0" w:rsidRPr="000A52A0">
        <w:rPr>
          <w:lang w:val="en-GB"/>
        </w:rPr>
        <w:t xml:space="preserve"> DRX is not assumed to be well utilized in the scenario where earth-moving LEO is deployed as the target satellite or serving satellite for measurement</w:t>
      </w:r>
      <w:r w:rsidR="000A52A0">
        <w:rPr>
          <w:lang w:val="en-GB"/>
        </w:rPr>
        <w:t xml:space="preserve">. </w:t>
      </w:r>
      <w:r w:rsidR="000A52A0" w:rsidRPr="000A52A0">
        <w:rPr>
          <w:lang w:val="en-GB"/>
        </w:rPr>
        <w:t>The main reason is</w:t>
      </w:r>
      <w:r w:rsidR="000A52A0">
        <w:rPr>
          <w:lang w:val="en-GB"/>
        </w:rPr>
        <w:t>:</w:t>
      </w:r>
      <w:r w:rsidR="000A52A0" w:rsidRPr="000A52A0">
        <w:rPr>
          <w:lang w:val="en-GB"/>
        </w:rPr>
        <w:t xml:space="preserve"> if earth-moving LEO is used and the footprint on earth is not that large, e.g., couple </w:t>
      </w:r>
      <w:proofErr w:type="spellStart"/>
      <w:r w:rsidR="000A52A0" w:rsidRPr="000A52A0">
        <w:rPr>
          <w:lang w:val="en-GB"/>
        </w:rPr>
        <w:t>kilometers</w:t>
      </w:r>
      <w:proofErr w:type="spellEnd"/>
      <w:r w:rsidR="000A52A0" w:rsidRPr="000A52A0">
        <w:rPr>
          <w:lang w:val="en-GB"/>
        </w:rPr>
        <w:t xml:space="preserve">, then the longer measurement </w:t>
      </w:r>
      <w:proofErr w:type="gramStart"/>
      <w:r w:rsidR="000A52A0" w:rsidRPr="000A52A0">
        <w:rPr>
          <w:lang w:val="en-GB"/>
        </w:rPr>
        <w:t>delay</w:t>
      </w:r>
      <w:proofErr w:type="gramEnd"/>
      <w:r w:rsidR="000A52A0" w:rsidRPr="000A52A0">
        <w:rPr>
          <w:lang w:val="en-GB"/>
        </w:rPr>
        <w:t xml:space="preserve"> due to using 2.56s will fail the mobility</w:t>
      </w:r>
      <w:r w:rsidR="000A52A0">
        <w:rPr>
          <w:lang w:val="en-GB"/>
        </w:rPr>
        <w:t>. I</w:t>
      </w:r>
      <w:r w:rsidR="000A52A0" w:rsidRPr="000A52A0">
        <w:rPr>
          <w:lang w:val="en-GB"/>
        </w:rPr>
        <w:t xml:space="preserve">f eDRX&gt;10.24sec is considered/configured </w:t>
      </w:r>
      <w:r w:rsidR="000A52A0">
        <w:rPr>
          <w:lang w:val="en-GB"/>
        </w:rPr>
        <w:t>(</w:t>
      </w:r>
      <w:r w:rsidR="000A52A0" w:rsidRPr="000A52A0">
        <w:rPr>
          <w:lang w:val="en-GB"/>
        </w:rPr>
        <w:t>PTW window is used</w:t>
      </w:r>
      <w:r w:rsidR="000A52A0">
        <w:rPr>
          <w:lang w:val="en-GB"/>
        </w:rPr>
        <w:t>) and</w:t>
      </w:r>
      <w:r w:rsidR="000A52A0" w:rsidRPr="000A52A0">
        <w:t xml:space="preserve"> earth-moving LEO is serving cell or is configured as target satellite for UE’s measurement</w:t>
      </w:r>
      <w:r w:rsidR="000A52A0">
        <w:t>, we think i</w:t>
      </w:r>
      <w:r w:rsidR="000A52A0" w:rsidRPr="000A52A0">
        <w:t>f DRX in PTW window is not greater than1.28s, UE shall complete the target NTN satellite measurement/evaluation within single PTW window, i.e., no cross PTW window measurement/evaluation</w:t>
      </w:r>
      <w:r w:rsidR="000A52A0">
        <w:t xml:space="preserve">; however, if </w:t>
      </w:r>
      <w:r w:rsidR="000A52A0" w:rsidRPr="000A52A0">
        <w:t>DRX in PTW window is greater than 1.28s</w:t>
      </w:r>
      <w:r w:rsidR="000A52A0">
        <w:t>, we still think UE shall be allowed to</w:t>
      </w:r>
      <w:r w:rsidR="000A52A0" w:rsidRPr="000A52A0">
        <w:t xml:space="preserve"> skip or drop the measurement/detection/evaluation</w:t>
      </w:r>
      <w:r w:rsidR="000A52A0">
        <w:t xml:space="preserve">, i.e., UE is not required to meet the requirement for 2.56s DRX cycle length for earth moving LEO deployment when </w:t>
      </w:r>
      <w:proofErr w:type="spellStart"/>
      <w:r w:rsidR="000A52A0">
        <w:t>eDRX</w:t>
      </w:r>
      <w:proofErr w:type="spellEnd"/>
      <w:r w:rsidR="000A52A0">
        <w:t xml:space="preserve"> with PTW window is configured. We are open for more discussion in the future meeting.</w:t>
      </w:r>
    </w:p>
    <w:p w14:paraId="3B5CF33F" w14:textId="4EDE83E7" w:rsidR="000A52A0" w:rsidRDefault="000A52A0" w:rsidP="000A52A0">
      <w:pPr>
        <w:jc w:val="both"/>
        <w:rPr>
          <w:lang w:val="en-GB"/>
        </w:rPr>
      </w:pPr>
      <w:r w:rsidRPr="000A52A0">
        <w:rPr>
          <w:noProof/>
          <w:lang w:val="en-GB"/>
        </w:rPr>
        <w:lastRenderedPageBreak/>
        <w:drawing>
          <wp:inline distT="0" distB="0" distL="0" distR="0" wp14:anchorId="49772276" wp14:editId="7A55DE89">
            <wp:extent cx="6332220" cy="3037840"/>
            <wp:effectExtent l="0" t="0" r="5080" b="0"/>
            <wp:docPr id="204196668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66687" name="Picture 1" descr="A screenshot of a document&#10;&#10;Description automatically generated"/>
                    <pic:cNvPicPr/>
                  </pic:nvPicPr>
                  <pic:blipFill>
                    <a:blip r:embed="rId10"/>
                    <a:stretch>
                      <a:fillRect/>
                    </a:stretch>
                  </pic:blipFill>
                  <pic:spPr>
                    <a:xfrm>
                      <a:off x="0" y="0"/>
                      <a:ext cx="6332220" cy="3037840"/>
                    </a:xfrm>
                    <a:prstGeom prst="rect">
                      <a:avLst/>
                    </a:prstGeom>
                  </pic:spPr>
                </pic:pic>
              </a:graphicData>
            </a:graphic>
          </wp:inline>
        </w:drawing>
      </w:r>
    </w:p>
    <w:p w14:paraId="4605BAA7" w14:textId="29CE0E0A" w:rsidR="00430F35" w:rsidRPr="005426D6" w:rsidRDefault="00430F35" w:rsidP="00430F35">
      <w:pPr>
        <w:jc w:val="both"/>
        <w:rPr>
          <w:b/>
          <w:bCs/>
          <w:i/>
          <w:iCs/>
          <w:lang w:val="en-GB"/>
        </w:rPr>
      </w:pPr>
      <w:r w:rsidRPr="009C523B">
        <w:rPr>
          <w:b/>
          <w:bCs/>
          <w:i/>
          <w:iCs/>
          <w:lang w:val="en-GB"/>
        </w:rPr>
        <w:t xml:space="preserve">Proposal </w:t>
      </w:r>
      <w:r w:rsidR="003113A2">
        <w:rPr>
          <w:b/>
          <w:bCs/>
          <w:i/>
          <w:iCs/>
          <w:lang w:val="en-GB"/>
        </w:rPr>
        <w:t>6</w:t>
      </w:r>
      <w:r w:rsidRPr="009C523B">
        <w:rPr>
          <w:b/>
          <w:bCs/>
          <w:i/>
          <w:iCs/>
          <w:lang w:val="en-GB"/>
        </w:rPr>
        <w:t xml:space="preserve">: </w:t>
      </w:r>
      <w:r>
        <w:rPr>
          <w:b/>
          <w:bCs/>
          <w:i/>
          <w:iCs/>
          <w:lang w:val="en-GB"/>
        </w:rPr>
        <w:t xml:space="preserve">RAN4 to </w:t>
      </w:r>
      <w:proofErr w:type="spellStart"/>
      <w:r>
        <w:rPr>
          <w:b/>
          <w:bCs/>
          <w:i/>
          <w:iCs/>
          <w:lang w:val="en-GB"/>
        </w:rPr>
        <w:t>analy</w:t>
      </w:r>
      <w:r w:rsidR="002121A7">
        <w:rPr>
          <w:b/>
          <w:bCs/>
          <w:i/>
          <w:iCs/>
          <w:lang w:val="en-GB"/>
        </w:rPr>
        <w:t>z</w:t>
      </w:r>
      <w:r>
        <w:rPr>
          <w:b/>
          <w:bCs/>
          <w:i/>
          <w:iCs/>
          <w:lang w:val="en-GB"/>
        </w:rPr>
        <w:t>e</w:t>
      </w:r>
      <w:proofErr w:type="spellEnd"/>
      <w:r>
        <w:rPr>
          <w:b/>
          <w:bCs/>
          <w:i/>
          <w:iCs/>
          <w:lang w:val="en-GB"/>
        </w:rPr>
        <w:t xml:space="preserve"> the RRM requirement impacts from following features for RedCap/</w:t>
      </w:r>
      <w:proofErr w:type="spellStart"/>
      <w:r>
        <w:rPr>
          <w:b/>
          <w:bCs/>
          <w:i/>
          <w:iCs/>
          <w:lang w:val="en-GB"/>
        </w:rPr>
        <w:t>eRedCap</w:t>
      </w:r>
      <w:proofErr w:type="spellEnd"/>
      <w:r>
        <w:rPr>
          <w:b/>
          <w:bCs/>
          <w:i/>
          <w:iCs/>
          <w:lang w:val="en-GB"/>
        </w:rPr>
        <w:t xml:space="preserve"> NTN: </w:t>
      </w:r>
    </w:p>
    <w:p w14:paraId="34988B47" w14:textId="77777777" w:rsidR="00430F35" w:rsidRDefault="00430F35" w:rsidP="00430F35">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1Rx</w:t>
      </w:r>
    </w:p>
    <w:p w14:paraId="10D7B0F2" w14:textId="10F45422" w:rsidR="00430F35" w:rsidRPr="00430F35" w:rsidRDefault="00430F35" w:rsidP="00430F35">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NCD-SSB</w:t>
      </w:r>
    </w:p>
    <w:p w14:paraId="18E1C46D" w14:textId="77777777" w:rsidR="00430F35" w:rsidRDefault="00430F35" w:rsidP="00430F35">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HD-FDD</w:t>
      </w:r>
    </w:p>
    <w:p w14:paraId="726A166B" w14:textId="77777777" w:rsidR="00430F35" w:rsidRPr="00430F35" w:rsidRDefault="00430F35" w:rsidP="00430F35">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RRM relaxation</w:t>
      </w:r>
    </w:p>
    <w:p w14:paraId="6AEAF922" w14:textId="77777777" w:rsidR="00430F35" w:rsidRPr="00430F35" w:rsidRDefault="00430F35" w:rsidP="00430F35">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Idle/Inactive mode eDRX with and without PTW window</w:t>
      </w:r>
    </w:p>
    <w:p w14:paraId="4B85707D" w14:textId="03638A9C" w:rsidR="00E01145" w:rsidRDefault="00430F35" w:rsidP="00F95921">
      <w:pPr>
        <w:jc w:val="both"/>
        <w:rPr>
          <w:b/>
          <w:bCs/>
          <w:i/>
          <w:iCs/>
          <w:lang w:val="en-GB"/>
        </w:rPr>
      </w:pPr>
      <w:r w:rsidRPr="00430F35">
        <w:rPr>
          <w:b/>
          <w:bCs/>
          <w:i/>
          <w:iCs/>
          <w:lang w:val="en-GB"/>
        </w:rPr>
        <w:t xml:space="preserve">Proposal </w:t>
      </w:r>
      <w:r w:rsidR="003113A2">
        <w:rPr>
          <w:b/>
          <w:bCs/>
          <w:i/>
          <w:iCs/>
          <w:lang w:val="en-GB"/>
        </w:rPr>
        <w:t>7</w:t>
      </w:r>
      <w:r w:rsidRPr="00430F35">
        <w:rPr>
          <w:b/>
          <w:bCs/>
          <w:i/>
          <w:iCs/>
          <w:lang w:val="en-GB"/>
        </w:rPr>
        <w:t>: For 1Rx, NCD-SSB and HD-FDD, the legacy RedCap</w:t>
      </w:r>
      <w:r>
        <w:rPr>
          <w:b/>
          <w:bCs/>
          <w:i/>
          <w:iCs/>
          <w:lang w:val="en-GB"/>
        </w:rPr>
        <w:t>/</w:t>
      </w:r>
      <w:proofErr w:type="spellStart"/>
      <w:r>
        <w:rPr>
          <w:b/>
          <w:bCs/>
          <w:i/>
          <w:iCs/>
          <w:lang w:val="en-GB"/>
        </w:rPr>
        <w:t>eRedCap</w:t>
      </w:r>
      <w:proofErr w:type="spellEnd"/>
      <w:r w:rsidRPr="00430F35">
        <w:rPr>
          <w:b/>
          <w:bCs/>
          <w:i/>
          <w:iCs/>
          <w:lang w:val="en-GB"/>
        </w:rPr>
        <w:t xml:space="preserve"> requirement can be used as baseline</w:t>
      </w:r>
      <w:r>
        <w:rPr>
          <w:b/>
          <w:bCs/>
          <w:i/>
          <w:iCs/>
          <w:lang w:val="en-GB"/>
        </w:rPr>
        <w:t xml:space="preserve"> for R19 NTN.</w:t>
      </w:r>
      <w:r w:rsidRPr="00430F35">
        <w:rPr>
          <w:b/>
          <w:bCs/>
          <w:i/>
          <w:iCs/>
          <w:lang w:val="en-GB"/>
        </w:rPr>
        <w:t xml:space="preserve"> </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77777777" w:rsidR="000A52A0" w:rsidRDefault="000A52A0" w:rsidP="000A52A0">
      <w:pPr>
        <w:spacing w:after="120"/>
        <w:jc w:val="both"/>
      </w:pPr>
      <w:r>
        <w:t xml:space="preserve">In this contribution, we discuss the RRM requirement scope for WI of </w:t>
      </w:r>
      <w:r w:rsidRPr="00E01145">
        <w:t>Non-Terrestrial Networks (NTN) for NR Phase 3</w:t>
      </w:r>
      <w:r>
        <w:t>.</w:t>
      </w:r>
    </w:p>
    <w:p w14:paraId="0404E938" w14:textId="77777777" w:rsidR="000A52A0" w:rsidRDefault="000A52A0" w:rsidP="000A52A0">
      <w:pPr>
        <w:ind w:left="30"/>
        <w:jc w:val="both"/>
        <w:rPr>
          <w:b/>
          <w:bCs/>
          <w:i/>
          <w:iCs/>
          <w:lang w:val="en-GB"/>
        </w:rPr>
      </w:pPr>
      <w:r w:rsidRPr="009C523B">
        <w:rPr>
          <w:b/>
          <w:bCs/>
          <w:i/>
          <w:iCs/>
          <w:lang w:val="en-GB"/>
        </w:rPr>
        <w:t xml:space="preserve">Proposal 1: RAN4 to decide if </w:t>
      </w:r>
      <w:r>
        <w:rPr>
          <w:b/>
          <w:bCs/>
          <w:i/>
          <w:iCs/>
          <w:lang w:val="en-GB"/>
        </w:rPr>
        <w:t xml:space="preserve">corresponding </w:t>
      </w:r>
      <w:r w:rsidRPr="009C523B">
        <w:rPr>
          <w:b/>
          <w:bCs/>
          <w:i/>
          <w:iCs/>
          <w:lang w:val="en-GB"/>
        </w:rPr>
        <w:t>RRM requirement</w:t>
      </w:r>
      <w:r>
        <w:rPr>
          <w:b/>
          <w:bCs/>
          <w:i/>
          <w:iCs/>
          <w:lang w:val="en-GB"/>
        </w:rPr>
        <w:t>(s)</w:t>
      </w:r>
      <w:r w:rsidRPr="009C523B">
        <w:rPr>
          <w:b/>
          <w:bCs/>
          <w:i/>
          <w:iCs/>
          <w:lang w:val="en-GB"/>
        </w:rPr>
        <w:t xml:space="preserve"> needs to be updated/clarified after RAN1 has concrete conclusion on the SSB periodicity extension for DL coverage enhancement.</w:t>
      </w:r>
    </w:p>
    <w:p w14:paraId="058ABCF7" w14:textId="6733237E" w:rsidR="003113A2" w:rsidRDefault="003113A2" w:rsidP="000A52A0">
      <w:pPr>
        <w:ind w:left="30"/>
        <w:jc w:val="both"/>
        <w:rPr>
          <w:b/>
          <w:bCs/>
          <w:i/>
          <w:iCs/>
          <w:lang w:val="en-GB"/>
        </w:rPr>
      </w:pPr>
      <w:r w:rsidRPr="009C523B">
        <w:rPr>
          <w:b/>
          <w:bCs/>
          <w:i/>
          <w:iCs/>
          <w:lang w:val="en-GB"/>
        </w:rPr>
        <w:t xml:space="preserve">Proposal </w:t>
      </w:r>
      <w:r>
        <w:rPr>
          <w:b/>
          <w:bCs/>
          <w:i/>
          <w:iCs/>
          <w:lang w:val="en-GB"/>
        </w:rPr>
        <w:t>2</w:t>
      </w:r>
      <w:r w:rsidRPr="009C523B">
        <w:rPr>
          <w:b/>
          <w:bCs/>
          <w:i/>
          <w:iCs/>
          <w:lang w:val="en-GB"/>
        </w:rPr>
        <w:t xml:space="preserve">: </w:t>
      </w:r>
      <w:r>
        <w:rPr>
          <w:b/>
          <w:bCs/>
          <w:i/>
          <w:iCs/>
          <w:lang w:val="en-GB"/>
        </w:rPr>
        <w:t>RAN4 to wait more conclusions from RAN1 to decide whether and how NTN RRM can be impacted by DTX/DRX from NES</w:t>
      </w:r>
      <w:r w:rsidRPr="009C523B">
        <w:rPr>
          <w:b/>
          <w:bCs/>
          <w:i/>
          <w:iCs/>
          <w:lang w:val="en-GB"/>
        </w:rPr>
        <w:t>.</w:t>
      </w:r>
    </w:p>
    <w:p w14:paraId="2F84B3F7" w14:textId="15CE84A2" w:rsidR="000A52A0" w:rsidRDefault="000A52A0" w:rsidP="000A52A0">
      <w:pPr>
        <w:rPr>
          <w:lang w:eastAsia="ko-KR"/>
        </w:rPr>
      </w:pPr>
      <w:r w:rsidRPr="009C523B">
        <w:rPr>
          <w:b/>
          <w:bCs/>
          <w:i/>
          <w:iCs/>
          <w:lang w:val="en-GB"/>
        </w:rPr>
        <w:t xml:space="preserve">Proposal </w:t>
      </w:r>
      <w:r w:rsidR="003113A2">
        <w:rPr>
          <w:b/>
          <w:bCs/>
          <w:i/>
          <w:iCs/>
          <w:lang w:val="en-GB"/>
        </w:rPr>
        <w:t>3</w:t>
      </w:r>
      <w:r w:rsidRPr="009C523B">
        <w:rPr>
          <w:b/>
          <w:bCs/>
          <w:i/>
          <w:iCs/>
          <w:lang w:val="en-GB"/>
        </w:rPr>
        <w:t xml:space="preserve">: </w:t>
      </w:r>
      <w:r>
        <w:rPr>
          <w:b/>
          <w:bCs/>
          <w:i/>
          <w:iCs/>
          <w:lang w:val="en-GB"/>
        </w:rPr>
        <w:t xml:space="preserve">No need for RAN4 to discuss </w:t>
      </w:r>
      <w:r w:rsidRPr="00304ADF">
        <w:rPr>
          <w:b/>
          <w:bCs/>
          <w:i/>
          <w:iCs/>
          <w:lang w:val="en-GB"/>
        </w:rPr>
        <w:t>RRM requirement for uplink Capacity/Cell Throughput Enhancement</w:t>
      </w:r>
      <w:r>
        <w:rPr>
          <w:b/>
          <w:bCs/>
          <w:i/>
          <w:iCs/>
          <w:lang w:val="en-GB"/>
        </w:rPr>
        <w:t>.</w:t>
      </w:r>
    </w:p>
    <w:p w14:paraId="7C46C688" w14:textId="09B08200" w:rsidR="000A52A0" w:rsidRDefault="000A52A0" w:rsidP="000A52A0">
      <w:pPr>
        <w:rPr>
          <w:b/>
          <w:bCs/>
          <w:i/>
          <w:iCs/>
          <w:lang w:val="en-GB"/>
        </w:rPr>
      </w:pPr>
      <w:r w:rsidRPr="009C523B">
        <w:rPr>
          <w:b/>
          <w:bCs/>
          <w:i/>
          <w:iCs/>
          <w:lang w:val="en-GB"/>
        </w:rPr>
        <w:lastRenderedPageBreak/>
        <w:t xml:space="preserve">Proposal </w:t>
      </w:r>
      <w:r w:rsidR="003113A2">
        <w:rPr>
          <w:b/>
          <w:bCs/>
          <w:i/>
          <w:iCs/>
          <w:lang w:val="en-GB"/>
        </w:rPr>
        <w:t>4</w:t>
      </w:r>
      <w:r w:rsidRPr="009C523B">
        <w:rPr>
          <w:b/>
          <w:bCs/>
          <w:i/>
          <w:iCs/>
          <w:lang w:val="en-GB"/>
        </w:rPr>
        <w:t xml:space="preserve">: </w:t>
      </w:r>
      <w:r>
        <w:rPr>
          <w:b/>
          <w:bCs/>
          <w:i/>
          <w:iCs/>
          <w:lang w:val="en-GB"/>
        </w:rPr>
        <w:t xml:space="preserve">RAN4 to clarify common TA = 0 in timing requirement for </w:t>
      </w:r>
      <w:r w:rsidRPr="005426D6">
        <w:rPr>
          <w:b/>
          <w:bCs/>
          <w:i/>
          <w:iCs/>
          <w:lang w:val="en-GB"/>
        </w:rPr>
        <w:t xml:space="preserve">regenerative </w:t>
      </w:r>
      <w:r>
        <w:rPr>
          <w:b/>
          <w:bCs/>
          <w:i/>
          <w:iCs/>
          <w:lang w:val="en-GB"/>
        </w:rPr>
        <w:t>mode of NTN.</w:t>
      </w:r>
    </w:p>
    <w:p w14:paraId="423B5920" w14:textId="3865CF72" w:rsidR="000A52A0" w:rsidRPr="005426D6" w:rsidRDefault="000A52A0" w:rsidP="000A52A0">
      <w:pPr>
        <w:rPr>
          <w:b/>
          <w:bCs/>
          <w:i/>
          <w:iCs/>
          <w:lang w:val="en-GB"/>
        </w:rPr>
      </w:pPr>
      <w:r w:rsidRPr="009C523B">
        <w:rPr>
          <w:b/>
          <w:bCs/>
          <w:i/>
          <w:iCs/>
          <w:lang w:val="en-GB"/>
        </w:rPr>
        <w:t xml:space="preserve">Proposal </w:t>
      </w:r>
      <w:r w:rsidR="003113A2">
        <w:rPr>
          <w:b/>
          <w:bCs/>
          <w:i/>
          <w:iCs/>
          <w:lang w:val="en-GB"/>
        </w:rPr>
        <w:t>5</w:t>
      </w:r>
      <w:r w:rsidRPr="009C523B">
        <w:rPr>
          <w:b/>
          <w:bCs/>
          <w:i/>
          <w:iCs/>
          <w:lang w:val="en-GB"/>
        </w:rPr>
        <w:t xml:space="preserve">: </w:t>
      </w:r>
      <w:r>
        <w:rPr>
          <w:b/>
          <w:bCs/>
          <w:i/>
          <w:iCs/>
          <w:lang w:val="en-GB"/>
        </w:rPr>
        <w:t xml:space="preserve">RAN4 to clarify requirement of </w:t>
      </w:r>
      <w:r w:rsidRPr="005426D6">
        <w:rPr>
          <w:b/>
          <w:bCs/>
          <w:i/>
          <w:iCs/>
          <w:lang w:val="en-GB"/>
        </w:rPr>
        <w:t xml:space="preserve">satellite switching without PCI change </w:t>
      </w:r>
      <w:r>
        <w:rPr>
          <w:b/>
          <w:bCs/>
          <w:i/>
          <w:iCs/>
          <w:lang w:val="en-GB"/>
        </w:rPr>
        <w:t xml:space="preserve">is not applied for </w:t>
      </w:r>
      <w:r w:rsidRPr="005426D6">
        <w:rPr>
          <w:b/>
          <w:bCs/>
          <w:i/>
          <w:iCs/>
          <w:lang w:val="en-GB"/>
        </w:rPr>
        <w:t xml:space="preserve">regenerative </w:t>
      </w:r>
      <w:r>
        <w:rPr>
          <w:b/>
          <w:bCs/>
          <w:i/>
          <w:iCs/>
          <w:lang w:val="en-GB"/>
        </w:rPr>
        <w:t>mode of NTN.</w:t>
      </w:r>
    </w:p>
    <w:p w14:paraId="47D575DC" w14:textId="60FD6EB9" w:rsidR="000A52A0" w:rsidRPr="005426D6" w:rsidRDefault="000A52A0" w:rsidP="000A52A0">
      <w:pPr>
        <w:jc w:val="both"/>
        <w:rPr>
          <w:b/>
          <w:bCs/>
          <w:i/>
          <w:iCs/>
          <w:lang w:val="en-GB"/>
        </w:rPr>
      </w:pPr>
      <w:r w:rsidRPr="009C523B">
        <w:rPr>
          <w:b/>
          <w:bCs/>
          <w:i/>
          <w:iCs/>
          <w:lang w:val="en-GB"/>
        </w:rPr>
        <w:t xml:space="preserve">Proposal </w:t>
      </w:r>
      <w:r w:rsidR="003113A2">
        <w:rPr>
          <w:b/>
          <w:bCs/>
          <w:i/>
          <w:iCs/>
          <w:lang w:val="en-GB"/>
        </w:rPr>
        <w:t>6</w:t>
      </w:r>
      <w:r w:rsidRPr="009C523B">
        <w:rPr>
          <w:b/>
          <w:bCs/>
          <w:i/>
          <w:iCs/>
          <w:lang w:val="en-GB"/>
        </w:rPr>
        <w:t xml:space="preserve">: </w:t>
      </w:r>
      <w:r>
        <w:rPr>
          <w:b/>
          <w:bCs/>
          <w:i/>
          <w:iCs/>
          <w:lang w:val="en-GB"/>
        </w:rPr>
        <w:t xml:space="preserve">RAN4 to </w:t>
      </w:r>
      <w:proofErr w:type="spellStart"/>
      <w:r>
        <w:rPr>
          <w:b/>
          <w:bCs/>
          <w:i/>
          <w:iCs/>
          <w:lang w:val="en-GB"/>
        </w:rPr>
        <w:t>analy</w:t>
      </w:r>
      <w:r w:rsidR="002121A7">
        <w:rPr>
          <w:b/>
          <w:bCs/>
          <w:i/>
          <w:iCs/>
          <w:lang w:val="en-GB"/>
        </w:rPr>
        <w:t>z</w:t>
      </w:r>
      <w:r>
        <w:rPr>
          <w:b/>
          <w:bCs/>
          <w:i/>
          <w:iCs/>
          <w:lang w:val="en-GB"/>
        </w:rPr>
        <w:t>e</w:t>
      </w:r>
      <w:proofErr w:type="spellEnd"/>
      <w:r>
        <w:rPr>
          <w:b/>
          <w:bCs/>
          <w:i/>
          <w:iCs/>
          <w:lang w:val="en-GB"/>
        </w:rPr>
        <w:t xml:space="preserve"> the RRM requirement impacts from following features for RedCap/</w:t>
      </w:r>
      <w:proofErr w:type="spellStart"/>
      <w:r>
        <w:rPr>
          <w:b/>
          <w:bCs/>
          <w:i/>
          <w:iCs/>
          <w:lang w:val="en-GB"/>
        </w:rPr>
        <w:t>eRedCap</w:t>
      </w:r>
      <w:proofErr w:type="spellEnd"/>
      <w:r>
        <w:rPr>
          <w:b/>
          <w:bCs/>
          <w:i/>
          <w:iCs/>
          <w:lang w:val="en-GB"/>
        </w:rPr>
        <w:t xml:space="preserve"> NTN: </w:t>
      </w:r>
    </w:p>
    <w:p w14:paraId="63174439" w14:textId="77777777" w:rsidR="000A52A0" w:rsidRDefault="000A52A0" w:rsidP="000A52A0">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1Rx</w:t>
      </w:r>
    </w:p>
    <w:p w14:paraId="0EA12D9B" w14:textId="77777777" w:rsidR="000A52A0" w:rsidRPr="00430F35" w:rsidRDefault="000A52A0" w:rsidP="000A52A0">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NCD-SSB</w:t>
      </w:r>
    </w:p>
    <w:p w14:paraId="585F4031" w14:textId="77777777" w:rsidR="000A52A0" w:rsidRDefault="000A52A0" w:rsidP="000A52A0">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HD-FDD</w:t>
      </w:r>
    </w:p>
    <w:p w14:paraId="592E6A12" w14:textId="77777777" w:rsidR="000A52A0" w:rsidRPr="00430F35" w:rsidRDefault="000A52A0" w:rsidP="000A52A0">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RRM relaxation</w:t>
      </w:r>
    </w:p>
    <w:p w14:paraId="64A81F4F" w14:textId="77777777" w:rsidR="000A52A0" w:rsidRPr="00430F35" w:rsidRDefault="000A52A0" w:rsidP="000A52A0">
      <w:pPr>
        <w:pStyle w:val="ListParagraph"/>
        <w:numPr>
          <w:ilvl w:val="0"/>
          <w:numId w:val="90"/>
        </w:numPr>
        <w:spacing w:before="0" w:beforeAutospacing="0" w:after="187" w:line="240" w:lineRule="auto"/>
        <w:ind w:firstLineChars="0"/>
        <w:rPr>
          <w:b/>
          <w:bCs/>
          <w:i/>
          <w:iCs/>
          <w:sz w:val="24"/>
          <w:szCs w:val="24"/>
          <w:lang w:val="en-GB"/>
        </w:rPr>
      </w:pPr>
      <w:r w:rsidRPr="00430F35">
        <w:rPr>
          <w:b/>
          <w:bCs/>
          <w:i/>
          <w:iCs/>
          <w:sz w:val="24"/>
          <w:szCs w:val="24"/>
          <w:lang w:val="en-GB"/>
        </w:rPr>
        <w:t>Idle/Inactive mode eDRX with and without PTW window</w:t>
      </w:r>
    </w:p>
    <w:p w14:paraId="2EB41152" w14:textId="60D2E788" w:rsidR="00406EE1" w:rsidRDefault="000A52A0" w:rsidP="00406EE1">
      <w:pPr>
        <w:jc w:val="both"/>
        <w:rPr>
          <w:b/>
          <w:bCs/>
          <w:i/>
          <w:iCs/>
          <w:lang w:val="en-GB"/>
        </w:rPr>
      </w:pPr>
      <w:r w:rsidRPr="00430F35">
        <w:rPr>
          <w:b/>
          <w:bCs/>
          <w:i/>
          <w:iCs/>
          <w:lang w:val="en-GB"/>
        </w:rPr>
        <w:t xml:space="preserve">Proposal </w:t>
      </w:r>
      <w:r w:rsidR="003113A2">
        <w:rPr>
          <w:b/>
          <w:bCs/>
          <w:i/>
          <w:iCs/>
          <w:lang w:val="en-GB"/>
        </w:rPr>
        <w:t>7</w:t>
      </w:r>
      <w:r w:rsidRPr="00430F35">
        <w:rPr>
          <w:b/>
          <w:bCs/>
          <w:i/>
          <w:iCs/>
          <w:lang w:val="en-GB"/>
        </w:rPr>
        <w:t>: For 1Rx, NCD-SSB and HD-FDD, the legacy RedCap</w:t>
      </w:r>
      <w:r>
        <w:rPr>
          <w:b/>
          <w:bCs/>
          <w:i/>
          <w:iCs/>
          <w:lang w:val="en-GB"/>
        </w:rPr>
        <w:t>/</w:t>
      </w:r>
      <w:proofErr w:type="spellStart"/>
      <w:r>
        <w:rPr>
          <w:b/>
          <w:bCs/>
          <w:i/>
          <w:iCs/>
          <w:lang w:val="en-GB"/>
        </w:rPr>
        <w:t>eRedCap</w:t>
      </w:r>
      <w:proofErr w:type="spellEnd"/>
      <w:r w:rsidRPr="00430F35">
        <w:rPr>
          <w:b/>
          <w:bCs/>
          <w:i/>
          <w:iCs/>
          <w:lang w:val="en-GB"/>
        </w:rPr>
        <w:t xml:space="preserve"> requirement can be used as baseline</w:t>
      </w:r>
      <w:r>
        <w:rPr>
          <w:b/>
          <w:bCs/>
          <w:i/>
          <w:iCs/>
          <w:lang w:val="en-GB"/>
        </w:rPr>
        <w:t xml:space="preserve"> for R19 NTN.</w:t>
      </w:r>
      <w:r w:rsidRPr="00430F35">
        <w:rPr>
          <w:b/>
          <w:bCs/>
          <w:i/>
          <w:iCs/>
          <w:lang w:val="en-GB"/>
        </w:rPr>
        <w:t xml:space="preserve"> </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25768927" w14:textId="13884E08" w:rsidR="006D098E" w:rsidRDefault="00DB5D18" w:rsidP="0051713E">
      <w:r>
        <w:t xml:space="preserve">[1] </w:t>
      </w:r>
      <w:r w:rsidR="00CB4CB5" w:rsidRPr="00CB4CB5">
        <w:rPr>
          <w:rFonts w:cs="Arial"/>
        </w:rPr>
        <w:t>RP-241667</w:t>
      </w:r>
      <w:r w:rsidRPr="003302A0">
        <w:t xml:space="preserve">, </w:t>
      </w:r>
      <w:r w:rsidR="00CB4CB5" w:rsidRPr="00CB4CB5">
        <w:t>Non-Terrestrial Networks (NTN) for NR Phase 3</w:t>
      </w:r>
      <w:r w:rsidRPr="003302A0">
        <w:t xml:space="preserve">, </w:t>
      </w:r>
      <w:r w:rsidR="00CB4CB5" w:rsidRPr="00CB4CB5">
        <w:t>Thales, CATT</w:t>
      </w:r>
      <w:r w:rsidRPr="003302A0">
        <w:t>, RAN</w:t>
      </w:r>
      <w:r w:rsidR="00FB4882">
        <w:t>P#104</w:t>
      </w:r>
    </w:p>
    <w:p w14:paraId="3B9813FF" w14:textId="5C64CC56" w:rsidR="00A23D5B" w:rsidRDefault="00A23D5B" w:rsidP="0051713E"/>
    <w:sectPr w:rsidR="00A23D5B" w:rsidSect="00F209DF">
      <w:headerReference w:type="even" r:id="rId11"/>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A46159" w14:textId="77777777" w:rsidR="00F16D7E" w:rsidRDefault="00F16D7E">
      <w:r>
        <w:separator/>
      </w:r>
    </w:p>
  </w:endnote>
  <w:endnote w:type="continuationSeparator" w:id="0">
    <w:p w14:paraId="56C66C4C" w14:textId="77777777" w:rsidR="00F16D7E" w:rsidRDefault="00F16D7E">
      <w:r>
        <w:continuationSeparator/>
      </w:r>
    </w:p>
  </w:endnote>
  <w:endnote w:type="continuationNotice" w:id="1">
    <w:p w14:paraId="42D3DC2B" w14:textId="77777777" w:rsidR="00F16D7E" w:rsidRDefault="00F16D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Times New Roman"/>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65B274" w14:textId="77777777" w:rsidR="00F16D7E" w:rsidRDefault="00F16D7E">
      <w:r>
        <w:separator/>
      </w:r>
    </w:p>
  </w:footnote>
  <w:footnote w:type="continuationSeparator" w:id="0">
    <w:p w14:paraId="1A66B48D" w14:textId="77777777" w:rsidR="00F16D7E" w:rsidRDefault="00F16D7E">
      <w:r>
        <w:continuationSeparator/>
      </w:r>
    </w:p>
  </w:footnote>
  <w:footnote w:type="continuationNotice" w:id="1">
    <w:p w14:paraId="5673B10F" w14:textId="77777777" w:rsidR="00F16D7E" w:rsidRDefault="00F16D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0"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3"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4"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0"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7"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0"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3"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76"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83"/>
  </w:num>
  <w:num w:numId="5" w16cid:durableId="199491767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1"/>
  </w:num>
  <w:num w:numId="8" w16cid:durableId="66853061">
    <w:abstractNumId w:val="8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1"/>
  </w:num>
  <w:num w:numId="11" w16cid:durableId="658192778">
    <w:abstractNumId w:val="75"/>
  </w:num>
  <w:num w:numId="12" w16cid:durableId="1683971953">
    <w:abstractNumId w:val="55"/>
  </w:num>
  <w:num w:numId="13" w16cid:durableId="1802336773">
    <w:abstractNumId w:val="76"/>
  </w:num>
  <w:num w:numId="14" w16cid:durableId="183179212">
    <w:abstractNumId w:val="14"/>
  </w:num>
  <w:num w:numId="15" w16cid:durableId="101072845">
    <w:abstractNumId w:val="4"/>
  </w:num>
  <w:num w:numId="16" w16cid:durableId="1671985423">
    <w:abstractNumId w:val="84"/>
  </w:num>
  <w:num w:numId="17" w16cid:durableId="527718403">
    <w:abstractNumId w:val="13"/>
  </w:num>
  <w:num w:numId="18" w16cid:durableId="336426665">
    <w:abstractNumId w:val="65"/>
  </w:num>
  <w:num w:numId="19" w16cid:durableId="314071016">
    <w:abstractNumId w:val="8"/>
  </w:num>
  <w:num w:numId="20" w16cid:durableId="254241833">
    <w:abstractNumId w:val="20"/>
  </w:num>
  <w:num w:numId="21" w16cid:durableId="2056931042">
    <w:abstractNumId w:val="54"/>
  </w:num>
  <w:num w:numId="22" w16cid:durableId="277881800">
    <w:abstractNumId w:val="59"/>
  </w:num>
  <w:num w:numId="23" w16cid:durableId="2121104171">
    <w:abstractNumId w:val="37"/>
  </w:num>
  <w:num w:numId="24" w16cid:durableId="1956054883">
    <w:abstractNumId w:val="25"/>
  </w:num>
  <w:num w:numId="25" w16cid:durableId="1143275559">
    <w:abstractNumId w:val="41"/>
  </w:num>
  <w:num w:numId="26" w16cid:durableId="337998213">
    <w:abstractNumId w:val="42"/>
  </w:num>
  <w:num w:numId="27" w16cid:durableId="753867088">
    <w:abstractNumId w:val="32"/>
  </w:num>
  <w:num w:numId="28" w16cid:durableId="1388605013">
    <w:abstractNumId w:val="29"/>
  </w:num>
  <w:num w:numId="29" w16cid:durableId="1194684424">
    <w:abstractNumId w:val="43"/>
  </w:num>
  <w:num w:numId="30" w16cid:durableId="195780968">
    <w:abstractNumId w:val="66"/>
  </w:num>
  <w:num w:numId="31" w16cid:durableId="43145658">
    <w:abstractNumId w:val="56"/>
  </w:num>
  <w:num w:numId="32" w16cid:durableId="840119956">
    <w:abstractNumId w:val="81"/>
  </w:num>
  <w:num w:numId="33" w16cid:durableId="788086887">
    <w:abstractNumId w:val="73"/>
  </w:num>
  <w:num w:numId="34" w16cid:durableId="1075589885">
    <w:abstractNumId w:val="36"/>
  </w:num>
  <w:num w:numId="35" w16cid:durableId="1071587299">
    <w:abstractNumId w:val="77"/>
  </w:num>
  <w:num w:numId="36" w16cid:durableId="1091851232">
    <w:abstractNumId w:val="69"/>
  </w:num>
  <w:num w:numId="37" w16cid:durableId="973365770">
    <w:abstractNumId w:val="64"/>
  </w:num>
  <w:num w:numId="38" w16cid:durableId="1834683719">
    <w:abstractNumId w:val="7"/>
  </w:num>
  <w:num w:numId="39" w16cid:durableId="1536116022">
    <w:abstractNumId w:val="71"/>
  </w:num>
  <w:num w:numId="40" w16cid:durableId="1520314102">
    <w:abstractNumId w:val="74"/>
  </w:num>
  <w:num w:numId="41" w16cid:durableId="247882645">
    <w:abstractNumId w:val="5"/>
  </w:num>
  <w:num w:numId="42" w16cid:durableId="1465733113">
    <w:abstractNumId w:val="35"/>
  </w:num>
  <w:num w:numId="43" w16cid:durableId="1899396757">
    <w:abstractNumId w:val="6"/>
  </w:num>
  <w:num w:numId="44" w16cid:durableId="1532566973">
    <w:abstractNumId w:val="1"/>
  </w:num>
  <w:num w:numId="45" w16cid:durableId="1368028164">
    <w:abstractNumId w:val="16"/>
  </w:num>
  <w:num w:numId="46" w16cid:durableId="1589078694">
    <w:abstractNumId w:val="31"/>
  </w:num>
  <w:num w:numId="47" w16cid:durableId="925915457">
    <w:abstractNumId w:val="10"/>
  </w:num>
  <w:num w:numId="48" w16cid:durableId="12804858">
    <w:abstractNumId w:val="24"/>
  </w:num>
  <w:num w:numId="49" w16cid:durableId="1651904155">
    <w:abstractNumId w:val="62"/>
  </w:num>
  <w:num w:numId="50" w16cid:durableId="1799837277">
    <w:abstractNumId w:val="68"/>
  </w:num>
  <w:num w:numId="51" w16cid:durableId="1335303262">
    <w:abstractNumId w:val="50"/>
  </w:num>
  <w:num w:numId="52" w16cid:durableId="2017027243">
    <w:abstractNumId w:val="30"/>
  </w:num>
  <w:num w:numId="53" w16cid:durableId="972100627">
    <w:abstractNumId w:val="52"/>
  </w:num>
  <w:num w:numId="54" w16cid:durableId="581522437">
    <w:abstractNumId w:val="82"/>
  </w:num>
  <w:num w:numId="55" w16cid:durableId="561520335">
    <w:abstractNumId w:val="60"/>
  </w:num>
  <w:num w:numId="56" w16cid:durableId="252054725">
    <w:abstractNumId w:val="38"/>
  </w:num>
  <w:num w:numId="57" w16cid:durableId="1293051579">
    <w:abstractNumId w:val="67"/>
  </w:num>
  <w:num w:numId="58" w16cid:durableId="1169441097">
    <w:abstractNumId w:val="63"/>
  </w:num>
  <w:num w:numId="59" w16cid:durableId="313799950">
    <w:abstractNumId w:val="18"/>
  </w:num>
  <w:num w:numId="60" w16cid:durableId="1577743831">
    <w:abstractNumId w:val="21"/>
  </w:num>
  <w:num w:numId="61" w16cid:durableId="809325268">
    <w:abstractNumId w:val="53"/>
  </w:num>
  <w:num w:numId="62" w16cid:durableId="1225213486">
    <w:abstractNumId w:val="19"/>
  </w:num>
  <w:num w:numId="63" w16cid:durableId="697196576">
    <w:abstractNumId w:val="23"/>
  </w:num>
  <w:num w:numId="64" w16cid:durableId="546991584">
    <w:abstractNumId w:val="0"/>
  </w:num>
  <w:num w:numId="65" w16cid:durableId="1117867917">
    <w:abstractNumId w:val="3"/>
  </w:num>
  <w:num w:numId="66" w16cid:durableId="1443307472">
    <w:abstractNumId w:val="27"/>
  </w:num>
  <w:num w:numId="67" w16cid:durableId="152263208">
    <w:abstractNumId w:val="79"/>
  </w:num>
  <w:num w:numId="68" w16cid:durableId="638533785">
    <w:abstractNumId w:val="33"/>
  </w:num>
  <w:num w:numId="69" w16cid:durableId="1886863922">
    <w:abstractNumId w:val="44"/>
  </w:num>
  <w:num w:numId="70" w16cid:durableId="1612977760">
    <w:abstractNumId w:val="39"/>
  </w:num>
  <w:num w:numId="71" w16cid:durableId="1456874366">
    <w:abstractNumId w:val="34"/>
  </w:num>
  <w:num w:numId="72" w16cid:durableId="1577082966">
    <w:abstractNumId w:val="17"/>
  </w:num>
  <w:num w:numId="73" w16cid:durableId="873807557">
    <w:abstractNumId w:val="47"/>
  </w:num>
  <w:num w:numId="74" w16cid:durableId="118957055">
    <w:abstractNumId w:val="70"/>
  </w:num>
  <w:num w:numId="75" w16cid:durableId="2008944983">
    <w:abstractNumId w:val="58"/>
  </w:num>
  <w:num w:numId="76" w16cid:durableId="559049746">
    <w:abstractNumId w:val="57"/>
  </w:num>
  <w:num w:numId="77" w16cid:durableId="1511330375">
    <w:abstractNumId w:val="40"/>
  </w:num>
  <w:num w:numId="78" w16cid:durableId="1610773526">
    <w:abstractNumId w:val="48"/>
  </w:num>
  <w:num w:numId="79" w16cid:durableId="228275363">
    <w:abstractNumId w:val="61"/>
  </w:num>
  <w:num w:numId="80" w16cid:durableId="1257902246">
    <w:abstractNumId w:val="15"/>
  </w:num>
  <w:num w:numId="81" w16cid:durableId="341979843">
    <w:abstractNumId w:val="45"/>
  </w:num>
  <w:num w:numId="82" w16cid:durableId="1714499501">
    <w:abstractNumId w:val="22"/>
  </w:num>
  <w:num w:numId="83" w16cid:durableId="1959069378">
    <w:abstractNumId w:val="46"/>
  </w:num>
  <w:num w:numId="84" w16cid:durableId="1094979134">
    <w:abstractNumId w:val="80"/>
  </w:num>
  <w:num w:numId="85" w16cid:durableId="1395541">
    <w:abstractNumId w:val="28"/>
  </w:num>
  <w:num w:numId="86" w16cid:durableId="340860459">
    <w:abstractNumId w:val="85"/>
  </w:num>
  <w:num w:numId="87" w16cid:durableId="187839416">
    <w:abstractNumId w:val="12"/>
  </w:num>
  <w:num w:numId="88" w16cid:durableId="2068455209">
    <w:abstractNumId w:val="78"/>
  </w:num>
  <w:num w:numId="89" w16cid:durableId="711808226">
    <w:abstractNumId w:val="49"/>
  </w:num>
  <w:num w:numId="90" w16cid:durableId="183598065">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511B"/>
    <w:rsid w:val="00016123"/>
    <w:rsid w:val="000172F0"/>
    <w:rsid w:val="000176F5"/>
    <w:rsid w:val="0002052C"/>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5CAB"/>
    <w:rsid w:val="003B6A8A"/>
    <w:rsid w:val="003B6D0C"/>
    <w:rsid w:val="003B7066"/>
    <w:rsid w:val="003B78AC"/>
    <w:rsid w:val="003B7EC1"/>
    <w:rsid w:val="003C0024"/>
    <w:rsid w:val="003C00A2"/>
    <w:rsid w:val="003C0A81"/>
    <w:rsid w:val="003C1CCC"/>
    <w:rsid w:val="003C2043"/>
    <w:rsid w:val="003C2250"/>
    <w:rsid w:val="003C249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505D5"/>
    <w:rsid w:val="004508F4"/>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870"/>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4C22"/>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1D1C"/>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6EE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7</Pages>
  <Words>2081</Words>
  <Characters>11866</Characters>
  <Application>Microsoft Office Word</Application>
  <DocSecurity>0</DocSecurity>
  <Lines>98</Lines>
  <Paragraphs>27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9</cp:revision>
  <cp:lastPrinted>2016-08-05T18:54:00Z</cp:lastPrinted>
  <dcterms:created xsi:type="dcterms:W3CDTF">2024-07-30T22:27:00Z</dcterms:created>
  <dcterms:modified xsi:type="dcterms:W3CDTF">2024-08-09T17:55:00Z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